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3.png" ContentType="image/png"/>
  <Override PartName="/word/media/image4.png" ContentType="image/png"/>
  <Override PartName="/word/media/image14.png" ContentType="image/png"/>
  <Override PartName="/word/media/image5.png" ContentType="image/png"/>
  <Override PartName="/word/media/image15.png" ContentType="image/png"/>
  <Override PartName="/word/media/image6.png" ContentType="image/png"/>
  <Override PartName="/word/media/image10.png" ContentType="image/png"/>
  <Override PartName="/word/media/image1.png" ContentType="image/png"/>
  <Override PartName="/word/media/image7.png" ContentType="image/png"/>
  <Override PartName="/word/media/image11.png" ContentType="image/png"/>
  <Override PartName="/word/media/image2.png" ContentType="image/png"/>
  <Override PartName="/word/media/image8.png" ContentType="image/png"/>
  <Override PartName="/word/media/image12.png" ContentType="image/png"/>
  <Override PartName="/word/media/image3.png" ContentType="image/png"/>
  <Override PartName="/word/media/image9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keepNext w:val="true"/>
        <w:keepLines/>
        <w:spacing w:before="360" w:after="80"/>
        <w:rPr/>
      </w:pPr>
      <w:bookmarkStart w:id="0" w:name="frequencies-counts-distributions"/>
      <w:bookmarkEnd w:id="0"/>
      <w:r>
        <w:rPr/>
        <w:t>Frequencies, Counts, &amp; Distributions</w:t>
      </w:r>
    </w:p>
    <w:p>
      <w:pPr>
        <w:pStyle w:val="FirstParagraph"/>
        <w:rPr/>
      </w:pPr>
      <w:r>
        <w:rPr/>
      </w:r>
      <w:bookmarkStart w:id="1" w:name="frequencies-counts-distributions_Copy_1"/>
      <w:bookmarkStart w:id="2" w:name="frequencies-counts-distributions_Copy_1"/>
      <w:bookmarkEnd w:id="2"/>
    </w:p>
    <w:p>
      <w:pPr>
        <w:pStyle w:val="Heading2"/>
        <w:rPr/>
      </w:pPr>
      <w:r>
        <w:rPr/>
        <w:t>Overview</w:t>
      </w:r>
    </w:p>
    <w:p>
      <w:pPr>
        <w:pStyle w:val="Compact"/>
        <w:numPr>
          <w:ilvl w:val="0"/>
          <w:numId w:val="1"/>
        </w:numPr>
        <w:rPr/>
      </w:pPr>
      <w:r>
        <w:rPr/>
        <w:t>Frequencies &amp; relative frequencies</w:t>
      </w:r>
    </w:p>
    <w:p>
      <w:pPr>
        <w:pStyle w:val="Compact"/>
        <w:numPr>
          <w:ilvl w:val="0"/>
          <w:numId w:val="1"/>
        </w:numPr>
        <w:rPr/>
      </w:pPr>
      <w:r>
        <w:rPr/>
        <w:t>Probabilities</w:t>
      </w:r>
    </w:p>
    <w:p>
      <w:pPr>
        <w:pStyle w:val="Compact"/>
        <w:numPr>
          <w:ilvl w:val="1"/>
          <w:numId w:val="204"/>
        </w:numPr>
        <w:rPr/>
      </w:pPr>
      <w:r>
        <w:rPr/>
        <w:t>Risks &amp; risk ratios</w:t>
      </w:r>
    </w:p>
    <w:p>
      <w:pPr>
        <w:pStyle w:val="Compact"/>
        <w:numPr>
          <w:ilvl w:val="1"/>
          <w:numId w:val="205"/>
        </w:numPr>
        <w:rPr/>
      </w:pPr>
      <w:r>
        <w:rPr/>
        <w:t>Hazards &amp; hazard ratios</w:t>
      </w:r>
    </w:p>
    <w:p>
      <w:pPr>
        <w:pStyle w:val="Compact"/>
        <w:numPr>
          <w:ilvl w:val="0"/>
          <w:numId w:val="1"/>
        </w:numPr>
        <w:rPr/>
      </w:pPr>
      <w:r>
        <w:rPr/>
        <w:t>Odds &amp; odds ratios</w:t>
      </w:r>
    </w:p>
    <w:p>
      <w:pPr>
        <w:pStyle w:val="Compact"/>
        <w:numPr>
          <w:ilvl w:val="0"/>
          <w:numId w:val="1"/>
        </w:numPr>
        <w:rPr/>
      </w:pPr>
      <w:r>
        <w:rPr/>
        <w:t>Contingency / cross tables</w:t>
      </w:r>
    </w:p>
    <w:p>
      <w:pPr>
        <w:pStyle w:val="Compact"/>
        <w:numPr>
          <w:ilvl w:val="1"/>
          <w:numId w:val="206"/>
        </w:numPr>
        <w:rPr/>
      </w:pPr>
      <w:r>
        <w:rPr/>
        <w:t>Fisher’s exact test</w:t>
      </w:r>
    </w:p>
    <w:p>
      <w:pPr>
        <w:pStyle w:val="Compact"/>
        <w:numPr>
          <w:ilvl w:val="0"/>
          <w:numId w:val="1"/>
        </w:numPr>
        <w:rPr/>
      </w:pPr>
      <w:r>
        <w:rPr/>
        <w:t>Important distributions</w:t>
      </w:r>
    </w:p>
    <w:p>
      <w:pPr>
        <w:pStyle w:val="Compact"/>
        <w:numPr>
          <w:ilvl w:val="1"/>
          <w:numId w:val="207"/>
        </w:numPr>
        <w:rPr/>
      </w:pPr>
      <w:r>
        <w:rPr/>
        <w:t>Normal distribution</w:t>
      </w:r>
    </w:p>
    <w:p>
      <w:pPr>
        <w:pStyle w:val="Compact"/>
        <w:numPr>
          <w:ilvl w:val="1"/>
          <w:numId w:val="208"/>
        </w:numPr>
        <w:rPr/>
      </w:pPr>
      <w:bookmarkStart w:id="3" w:name="section"/>
      <w:r>
        <w:rPr/>
        <w:t>χ² distribution</w:t>
      </w:r>
      <w:bookmarkEnd w:id="3"/>
    </w:p>
    <w:p>
      <w:pPr>
        <w:pStyle w:val="Heading1"/>
        <w:rPr/>
      </w:pPr>
      <w:r>
        <w:rPr/>
        <w:t>Frequencies &amp;Relative Frequencies</w:t>
      </w:r>
    </w:p>
    <w:p>
      <w:pPr>
        <w:pStyle w:val="Heading2"/>
        <w:rPr/>
      </w:pPr>
      <w:bookmarkStart w:id="4" w:name="frequencies"/>
      <w:r>
        <w:rPr/>
        <w:t>Frequencies</w:t>
      </w:r>
    </w:p>
    <w:p>
      <w:pPr>
        <w:pStyle w:val="FirstParagraph"/>
        <w:numPr>
          <w:ilvl w:val="0"/>
          <w:numId w:val="2"/>
        </w:numPr>
        <w:rPr/>
      </w:pPr>
      <w:r>
        <w:rPr/>
        <w:t>Simply how often something occurs</w:t>
      </w:r>
    </w:p>
    <w:p>
      <w:pPr>
        <w:pStyle w:val="BodyText"/>
        <w:numPr>
          <w:ilvl w:val="0"/>
          <w:numId w:val="2"/>
        </w:numPr>
        <w:rPr/>
      </w:pPr>
      <w:r>
        <w:rPr/>
        <w:t>But can be expressed differently:</w:t>
      </w:r>
    </w:p>
    <w:p>
      <w:pPr>
        <w:pStyle w:val="BodyText"/>
        <w:numPr>
          <w:ilvl w:val="0"/>
          <w:numId w:val="3"/>
        </w:numPr>
        <w:rPr/>
      </w:pPr>
      <w:r>
        <w:rPr/>
        <w:t xml:space="preserve">Relative to the </w:t>
      </w:r>
      <w:r>
        <w:rPr>
          <w:b/>
          <w:bCs/>
        </w:rPr>
        <w:t>entire sample</w:t>
      </w:r>
    </w:p>
    <w:p>
      <w:pPr>
        <w:pStyle w:val="BodyText"/>
        <w:numPr>
          <w:ilvl w:val="1"/>
          <w:numId w:val="4"/>
        </w:numPr>
        <w:rPr/>
      </w:pPr>
      <w:r>
        <w:rPr/>
        <w:t>“</w:t>
      </w:r>
      <w:r>
        <w:rPr/>
        <w:t>Of all 100 patients, 80 had pain disorders”</w:t>
      </w:r>
    </w:p>
    <w:p>
      <w:pPr>
        <w:pStyle w:val="BodyText"/>
        <w:numPr>
          <w:ilvl w:val="1"/>
          <w:numId w:val="4"/>
        </w:numPr>
        <w:rPr/>
      </w:pPr>
      <w:r>
        <w:rPr/>
        <w:t xml:space="preserve">Presented as percents, probabilities, or </w:t>
      </w:r>
      <w:r>
        <w:rPr>
          <w:b/>
          <w:bCs/>
        </w:rPr>
        <w:t>risks</w:t>
      </w:r>
    </w:p>
    <w:p>
      <w:pPr>
        <w:pStyle w:val="BodyText"/>
        <w:numPr>
          <w:ilvl w:val="0"/>
          <w:numId w:val="3"/>
        </w:numPr>
        <w:rPr/>
      </w:pPr>
      <w:r>
        <w:rPr/>
        <w:t xml:space="preserve">Relative to </w:t>
      </w:r>
      <w:r>
        <w:rPr>
          <w:b/>
          <w:bCs/>
        </w:rPr>
        <w:t>other subgroups</w:t>
      </w:r>
    </w:p>
    <w:p>
      <w:pPr>
        <w:pStyle w:val="BodyText"/>
        <w:numPr>
          <w:ilvl w:val="1"/>
          <w:numId w:val="5"/>
        </w:numPr>
        <w:rPr/>
      </w:pPr>
      <w:r>
        <w:rPr/>
        <w:t>“</w:t>
      </w:r>
      <w:r>
        <w:rPr/>
        <w:t>80 of these patients developed pain disorders, and 20 did not”</w:t>
      </w:r>
    </w:p>
    <w:p>
      <w:pPr>
        <w:pStyle w:val="BodyText"/>
        <w:numPr>
          <w:ilvl w:val="1"/>
          <w:numId w:val="5"/>
        </w:numPr>
        <w:rPr/>
      </w:pPr>
      <w:r>
        <w:rPr/>
        <w:t xml:space="preserve">Presented as </w:t>
      </w:r>
      <w:r>
        <w:rPr>
          <w:b/>
          <w:bCs/>
        </w:rPr>
        <w:t>odds</w:t>
      </w:r>
    </w:p>
    <w:p>
      <w:pPr>
        <w:pStyle w:val="BodyText"/>
        <w:numPr>
          <w:ilvl w:val="2"/>
          <w:numId w:val="6"/>
        </w:numPr>
        <w:rPr/>
      </w:pPr>
      <w:r>
        <w:rPr/>
        <w:t>“</w:t>
      </w:r>
      <w:r>
        <w:rPr/>
        <w:t>The odds of these patients developing a pain disorder were 4:1”</w:t>
      </w:r>
      <w:bookmarkEnd w:id="4"/>
    </w:p>
    <w:p>
      <w:pPr>
        <w:pStyle w:val="Heading2"/>
        <w:rPr/>
      </w:pPr>
      <w:r>
        <w:rPr/>
        <w:t>Relative Frequencies</w:t>
      </w:r>
    </w:p>
    <w:p>
      <w:pPr>
        <w:pStyle w:val="Compact"/>
        <w:numPr>
          <w:ilvl w:val="0"/>
          <w:numId w:val="209"/>
        </w:numPr>
        <w:rPr/>
      </w:pPr>
      <w:r>
        <w:rPr/>
        <w:t>We’re often interested not only in how something happens</w:t>
      </w:r>
    </w:p>
    <w:p>
      <w:pPr>
        <w:pStyle w:val="Compact"/>
        <w:numPr>
          <w:ilvl w:val="1"/>
          <w:numId w:val="210"/>
        </w:numPr>
        <w:rPr/>
      </w:pPr>
      <w:r>
        <w:rPr/>
        <w:t>But if it’s more/less common in one group/situation than in others</w:t>
      </w:r>
    </w:p>
    <w:p>
      <w:pPr>
        <w:pStyle w:val="Compact"/>
        <w:numPr>
          <w:ilvl w:val="0"/>
          <w:numId w:val="211"/>
        </w:numPr>
        <w:rPr/>
      </w:pPr>
      <w:r>
        <w:rPr/>
        <w:t xml:space="preserve">This is the </w:t>
      </w:r>
      <w:r>
        <w:rPr>
          <w:i/>
          <w:iCs/>
        </w:rPr>
        <w:t>relative frequency</w:t>
      </w:r>
    </w:p>
    <w:p>
      <w:pPr>
        <w:pStyle w:val="Compact"/>
        <w:numPr>
          <w:ilvl w:val="1"/>
          <w:numId w:val="212"/>
        </w:numPr>
        <w:rPr/>
      </w:pPr>
      <w:r>
        <w:rPr/>
        <w:t>Can be expressed as:</w:t>
      </w:r>
    </w:p>
    <w:p>
      <w:pPr>
        <w:pStyle w:val="Compact"/>
        <w:numPr>
          <w:ilvl w:val="2"/>
          <w:numId w:val="213"/>
        </w:numPr>
        <w:rPr/>
      </w:pPr>
      <w:r>
        <w:rPr/>
        <w:t>Relative risk (relative probability)</w:t>
      </w:r>
    </w:p>
    <w:p>
      <w:pPr>
        <w:pStyle w:val="Compact"/>
        <w:numPr>
          <w:ilvl w:val="2"/>
          <w:numId w:val="214"/>
        </w:numPr>
        <w:rPr/>
      </w:pPr>
      <w:r>
        <w:rPr/>
        <w:t>Relative odds</w:t>
      </w:r>
    </w:p>
    <w:p>
      <w:pPr>
        <w:pStyle w:val="Compact"/>
        <w:numPr>
          <w:ilvl w:val="1"/>
          <w:numId w:val="215"/>
        </w:numPr>
        <w:rPr/>
      </w:pPr>
      <w:r>
        <w:rPr/>
        <w:t>These are usually instead written as:</w:t>
      </w:r>
    </w:p>
    <w:p>
      <w:pPr>
        <w:pStyle w:val="Compact"/>
        <w:numPr>
          <w:ilvl w:val="2"/>
          <w:numId w:val="216"/>
        </w:numPr>
        <w:rPr/>
      </w:pPr>
      <w:r>
        <w:rPr/>
        <w:t>Risk ratio</w:t>
      </w:r>
    </w:p>
    <w:p>
      <w:pPr>
        <w:pStyle w:val="Compact"/>
        <w:numPr>
          <w:ilvl w:val="2"/>
          <w:numId w:val="217"/>
        </w:numPr>
        <w:rPr/>
      </w:pPr>
      <w:bookmarkStart w:id="5" w:name="frequencies-relative-frequencies"/>
      <w:bookmarkStart w:id="6" w:name="relative-frequencies"/>
      <w:r>
        <w:rPr/>
        <w:t>Odds ratio</w:t>
      </w:r>
      <w:bookmarkEnd w:id="5"/>
      <w:bookmarkEnd w:id="6"/>
    </w:p>
    <w:p>
      <w:pPr>
        <w:pStyle w:val="Heading1"/>
        <w:rPr/>
      </w:pPr>
      <w:r>
        <w:rPr/>
        <w:t>Risks (Probabilities)&amp; Risk Ratios</w:t>
      </w:r>
    </w:p>
    <w:p>
      <w:pPr>
        <w:pStyle w:val="Heading2"/>
        <w:rPr/>
      </w:pPr>
      <w:r>
        <w:rPr/>
        <w:t>Risks/Probabilities</w:t>
      </w:r>
    </w:p>
    <w:p>
      <w:pPr>
        <w:pStyle w:val="Compact"/>
        <w:numPr>
          <w:ilvl w:val="0"/>
          <w:numId w:val="218"/>
        </w:numPr>
        <w:rPr/>
      </w:pPr>
      <w:r>
        <w:rPr/>
        <w:t>Again, risk &amp; probability are the same thing</w:t>
      </w:r>
    </w:p>
    <w:p>
      <w:pPr>
        <w:pStyle w:val="Compact"/>
        <w:numPr>
          <w:ilvl w:val="0"/>
          <w:numId w:val="219"/>
        </w:numPr>
        <w:rPr/>
      </w:pPr>
      <w:r>
        <w:rPr/>
        <w:t>Expressed as the chance of something happening standardized to a scale of 0 to 1</w:t>
      </w:r>
    </w:p>
    <w:p>
      <w:pPr>
        <w:pStyle w:val="Compact"/>
        <w:numPr>
          <w:ilvl w:val="1"/>
          <w:numId w:val="220"/>
        </w:numPr>
        <w:rPr/>
      </w:pPr>
      <w:r>
        <w:rPr/>
        <w:t>Often computed as the chance—or number of times—something happens out of all possible times</w:t>
      </w:r>
    </w:p>
    <w:p>
      <w:pPr>
        <w:pStyle w:val="FirstParagraph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P</m:t>
          </m:r>
          <m:r>
            <w:rPr>
              <w:rFonts w:ascii="Cambria Math" w:hAnsi="Cambria Math"/>
            </w:rPr>
            <m:t xml:space="preserve">(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g</m:t>
          </m:r>
          <m:r>
            <w:rPr>
              <w:rFonts w:ascii="Cambria Math" w:hAnsi="Cambria Math"/>
            </w:rPr>
            <m:t xml:space="preserve">e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u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c</m:t>
          </m:r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m</m:t>
          </m:r>
          <m:r>
            <w:rPr>
              <w:rFonts w:ascii="Cambria Math" w:hAnsi="Cambria Math"/>
            </w:rPr>
            <m:t xml:space="preserve">e</m:t>
          </m:r>
          <m:r>
            <w:rPr>
              <w:rFonts w:ascii="Cambria Math" w:hAnsi="Cambria Math"/>
            </w:rPr>
            <m:t xml:space="preserve">)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u</m:t>
              </m:r>
              <m:r>
                <w:rPr>
                  <w:rFonts w:ascii="Cambria Math" w:hAnsi="Cambria Math"/>
                </w:rPr>
                <m:t xml:space="preserve">m</m:t>
              </m:r>
              <m:r>
                <w:rPr>
                  <w:rFonts w:ascii="Cambria Math" w:hAnsi="Cambria Math"/>
                </w:rPr>
                <m:t xml:space="preserve">b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f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g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u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c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m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s</m:t>
              </m:r>
            </m:num>
            <m:den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u</m:t>
              </m:r>
              <m:r>
                <w:rPr>
                  <w:rFonts w:ascii="Cambria Math" w:hAnsi="Cambria Math"/>
                </w:rPr>
                <m:t xml:space="preserve">m</m:t>
              </m:r>
              <m:r>
                <w:rPr>
                  <w:rFonts w:ascii="Cambria Math" w:hAnsi="Cambria Math"/>
                </w:rPr>
                <m:t xml:space="preserve">b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f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l</m:t>
              </m:r>
              <m:r>
                <w:rPr>
                  <w:rFonts w:ascii="Cambria Math" w:hAnsi="Cambria Math"/>
                </w:rPr>
                <m:t xml:space="preserve">l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u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c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m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s</m:t>
              </m:r>
            </m:den>
          </m:f>
        </m:oMath>
      </m:oMathPara>
    </w:p>
    <w:p>
      <w:pPr>
        <w:pStyle w:val="FirstParagraph"/>
        <w:jc w:val="center"/>
        <w:rPr/>
      </w:pPr>
      <w:bookmarkStart w:id="7" w:name="risksprobabilities"/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P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72</m:t>
              </m:r>
            </m:num>
            <m:den>
              <m:r>
                <w:rPr>
                  <w:rFonts w:ascii="Cambria Math" w:hAnsi="Cambria Math"/>
                </w:rPr>
                <m:t xml:space="preserve">200</m:t>
              </m:r>
            </m:den>
          </m:f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.36</m:t>
          </m:r>
        </m:oMath>
      </m:oMathPara>
      <w:bookmarkEnd w:id="7"/>
    </w:p>
    <w:p>
      <w:pPr>
        <w:pStyle w:val="Heading2"/>
        <w:rPr/>
      </w:pPr>
      <w:bookmarkStart w:id="8" w:name="risksprobabilities-cont."/>
      <w:r>
        <w:rPr/>
        <w:t>Risks/Probabilities (cont.)</w:t>
      </w:r>
    </w:p>
    <w:p>
      <w:pPr>
        <w:pStyle w:val="Compact"/>
        <w:numPr>
          <w:ilvl w:val="0"/>
          <w:numId w:val="221"/>
        </w:numPr>
        <w:rPr/>
      </w:pPr>
      <w:r>
        <w:rPr/>
        <w:t xml:space="preserve">Creating an example in </w:t>
      </w:r>
      <w:hyperlink r:id="rId2">
        <w:r>
          <w:rPr>
            <w:rStyle w:val="ListLabel3556"/>
            <w:rFonts w:ascii="Consolas" w:hAnsi="Consolas"/>
            <w:sz w:val="22"/>
          </w:rPr>
          <w:t>R</w:t>
        </w:r>
      </w:hyperlink>
      <w:r>
        <w:rPr/>
        <w:t xml:space="preserve"> using </w:t>
      </w:r>
      <w:hyperlink r:id="rId3">
        <w:r>
          <w:rPr>
            <w:rStyle w:val="ListLabel3556"/>
            <w:rFonts w:ascii="Consolas" w:hAnsi="Consolas"/>
            <w:sz w:val="22"/>
          </w:rPr>
          <w:t>RStudio</w:t>
        </w:r>
      </w:hyperlink>
    </w:p>
    <w:p>
      <w:pPr>
        <w:pStyle w:val="SourceCode"/>
        <w:rPr/>
      </w:pPr>
      <w:r>
        <w:rPr>
          <w:rStyle w:val="NormalTok"/>
        </w:rPr>
        <w:t xml:space="preserve">pain.df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data.frame</w:t>
      </w:r>
      <w:r>
        <w:rPr>
          <w:rStyle w:val="NormalTok"/>
        </w:rPr>
        <w:t>(</w:t>
      </w:r>
      <w:r>
        <w:rPr>
          <w:rStyle w:val="AttributeTok"/>
        </w:rPr>
        <w:t>Ethnicity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"Latin"</w:t>
      </w:r>
      <w:r>
        <w:rPr>
          <w:rStyle w:val="NormalTok"/>
        </w:rPr>
        <w:t xml:space="preserve">, </w:t>
      </w:r>
      <w:r>
        <w:rPr>
          <w:rStyle w:val="StringTok"/>
        </w:rPr>
        <w:t>"Non-Latin"</w:t>
      </w:r>
      <w:r>
        <w:rPr>
          <w:rStyle w:val="NormalTok"/>
        </w:rPr>
        <w:t>),</w:t>
      </w:r>
      <w:r>
        <w:rPr/>
        <w:br/>
      </w:r>
      <w:r>
        <w:rPr>
          <w:rStyle w:val="NormalTok"/>
        </w:rPr>
        <w:t xml:space="preserve">                      </w:t>
      </w:r>
      <w:r>
        <w:rPr>
          <w:rStyle w:val="AttributeTok"/>
        </w:rPr>
        <w:t>Diagnosed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DecValTok"/>
        </w:rPr>
        <w:t>72</w:t>
      </w:r>
      <w:r>
        <w:rPr>
          <w:rStyle w:val="NormalTok"/>
        </w:rPr>
        <w:t xml:space="preserve">, </w:t>
      </w:r>
      <w:r>
        <w:rPr>
          <w:rStyle w:val="DecValTok"/>
        </w:rPr>
        <w:t>223</w:t>
      </w:r>
      <w:r>
        <w:rPr>
          <w:rStyle w:val="NormalTok"/>
        </w:rPr>
        <w:t>),</w:t>
      </w:r>
      <w:r>
        <w:rPr/>
        <w:br/>
      </w:r>
      <w:r>
        <w:rPr>
          <w:rStyle w:val="NormalTok"/>
        </w:rPr>
        <w:t xml:space="preserve">                      </w:t>
      </w:r>
      <w:r>
        <w:rPr>
          <w:rStyle w:val="AttributeTok"/>
        </w:rPr>
        <w:t>Not_Diagnosed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DecValTok"/>
        </w:rPr>
        <w:t>128</w:t>
      </w:r>
      <w:r>
        <w:rPr>
          <w:rStyle w:val="NormalTok"/>
        </w:rPr>
        <w:t xml:space="preserve">, </w:t>
      </w:r>
      <w:r>
        <w:rPr>
          <w:rStyle w:val="DecValTok"/>
        </w:rPr>
        <w:t>241</w:t>
      </w:r>
      <w:r>
        <w:rPr>
          <w:rStyle w:val="NormalTok"/>
        </w:rPr>
        <w:t>)</w:t>
      </w:r>
      <w:r>
        <w:rPr/>
        <w:br/>
      </w:r>
      <w:r>
        <w:rPr>
          <w:rStyle w:val="NormalTok"/>
        </w:rPr>
        <w:t xml:space="preserve">                     )</w:t>
      </w:r>
    </w:p>
    <w:p>
      <w:pPr>
        <w:pStyle w:val="Compact"/>
        <w:numPr>
          <w:ilvl w:val="0"/>
          <w:numId w:val="7"/>
        </w:numPr>
        <w:rPr/>
      </w:pPr>
      <w:r>
        <w:rPr>
          <w:rStyle w:val="VerbatimChar"/>
        </w:rPr>
        <w:t>&lt;-</w:t>
      </w:r>
      <w:r>
        <w:rPr/>
        <w:t xml:space="preserve"> assigns a value, function, etc. to an “object”</w:t>
      </w:r>
    </w:p>
    <w:p>
      <w:pPr>
        <w:pStyle w:val="Compact"/>
        <w:numPr>
          <w:ilvl w:val="1"/>
          <w:numId w:val="222"/>
        </w:numPr>
        <w:rPr/>
      </w:pPr>
      <w:r>
        <w:rPr/>
        <w:t xml:space="preserve">Here I’m creating a </w:t>
      </w:r>
      <w:hyperlink r:id="rId4">
        <w:r>
          <w:rPr>
            <w:rStyle w:val="ListLabel3556"/>
            <w:rFonts w:ascii="Consolas" w:hAnsi="Consolas"/>
            <w:sz w:val="22"/>
          </w:rPr>
          <w:t>data.frame</w:t>
        </w:r>
      </w:hyperlink>
    </w:p>
    <w:p>
      <w:pPr>
        <w:pStyle w:val="Compact"/>
        <w:numPr>
          <w:ilvl w:val="1"/>
          <w:numId w:val="223"/>
        </w:numPr>
        <w:rPr/>
      </w:pPr>
      <w:r>
        <w:rPr/>
        <w:t xml:space="preserve">And assigning it to / saving it as </w:t>
      </w:r>
      <w:r>
        <w:rPr>
          <w:rStyle w:val="VerbatimChar"/>
        </w:rPr>
        <w:t>pain.df</w:t>
      </w:r>
    </w:p>
    <w:p>
      <w:pPr>
        <w:pStyle w:val="Compact"/>
        <w:numPr>
          <w:ilvl w:val="0"/>
          <w:numId w:val="224"/>
        </w:numPr>
        <w:rPr/>
      </w:pPr>
      <w:hyperlink r:id="rId5">
        <w:r>
          <w:rPr>
            <w:rStyle w:val="ListLabel3556"/>
            <w:rFonts w:ascii="Consolas" w:hAnsi="Consolas"/>
            <w:sz w:val="22"/>
          </w:rPr>
          <w:t>c</w:t>
        </w:r>
      </w:hyperlink>
      <w:r>
        <w:rPr/>
        <w:t xml:space="preserve"> “concatenates” (combines) a series of values, etc. into a single list (“array” or “vector”)</w:t>
      </w:r>
      <w:bookmarkEnd w:id="8"/>
    </w:p>
    <w:p>
      <w:pPr>
        <w:pStyle w:val="Heading2"/>
        <w:rPr/>
      </w:pPr>
      <w:bookmarkStart w:id="9" w:name="risksprobabilities-cont.-1"/>
      <w:r>
        <w:rPr/>
        <w:t>Risks/Probabilities (cont.)</w:t>
      </w:r>
    </w:p>
    <w:p>
      <w:pPr>
        <w:pStyle w:val="SourceCode"/>
        <w:rPr/>
      </w:pPr>
      <w:r>
        <w:rPr>
          <w:rStyle w:val="FunctionTok"/>
        </w:rPr>
        <w:t>library</w:t>
      </w:r>
      <w:r>
        <w:rPr>
          <w:rStyle w:val="NormalTok"/>
        </w:rPr>
        <w:t>(knitr)</w:t>
      </w:r>
      <w:r>
        <w:rPr/>
        <w:br/>
      </w:r>
      <w:r>
        <w:rPr>
          <w:rStyle w:val="FunctionTok"/>
        </w:rPr>
        <w:t>library</w:t>
      </w:r>
      <w:r>
        <w:rPr>
          <w:rStyle w:val="NormalTok"/>
        </w:rPr>
        <w:t>(kableExtra)</w:t>
      </w:r>
      <w:r>
        <w:rPr/>
        <w:br/>
      </w:r>
      <w:r>
        <w:rPr>
          <w:rStyle w:val="NormalTok"/>
        </w:rPr>
        <w:t xml:space="preserve">table.of.pain </w:t>
      </w:r>
      <w:r>
        <w:rPr>
          <w:rStyle w:val="OtherTok"/>
        </w:rPr>
        <w:t>&lt;-</w:t>
      </w:r>
      <w:r>
        <w:rPr>
          <w:rStyle w:val="NormalTok"/>
        </w:rPr>
        <w:t xml:space="preserve"> pain.df </w:t>
      </w:r>
      <w:r>
        <w:rPr>
          <w:rStyle w:val="SpecialCharTok"/>
        </w:rPr>
        <w:t>%&gt;%</w:t>
      </w:r>
      <w:r>
        <w:rPr/>
        <w:br/>
      </w:r>
      <w:r>
        <w:rPr>
          <w:rStyle w:val="NormalTok"/>
        </w:rPr>
        <w:t xml:space="preserve">  </w:t>
      </w:r>
      <w:r>
        <w:rPr>
          <w:rStyle w:val="FunctionTok"/>
        </w:rPr>
        <w:t>kable</w:t>
      </w:r>
      <w:r>
        <w:rPr>
          <w:rStyle w:val="NormalTok"/>
        </w:rPr>
        <w:t>(</w:t>
      </w:r>
      <w:r>
        <w:rPr>
          <w:rStyle w:val="AttributeTok"/>
        </w:rPr>
        <w:t>col.names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"Ethnicity"</w:t>
      </w:r>
      <w:r>
        <w:rPr>
          <w:rStyle w:val="NormalTok"/>
        </w:rPr>
        <w:t xml:space="preserve">, </w:t>
      </w:r>
      <w:r>
        <w:rPr>
          <w:rStyle w:val="StringTok"/>
        </w:rPr>
        <w:t>"Diagnosed"</w:t>
      </w:r>
      <w:r>
        <w:rPr>
          <w:rStyle w:val="NormalTok"/>
        </w:rPr>
        <w:t xml:space="preserve">, </w:t>
      </w:r>
      <w:r>
        <w:rPr>
          <w:rStyle w:val="StringTok"/>
        </w:rPr>
        <w:t>"Not Diagnosed"</w:t>
      </w:r>
      <w:r>
        <w:rPr>
          <w:rStyle w:val="NormalTok"/>
        </w:rPr>
        <w:t>),</w:t>
      </w:r>
      <w:r>
        <w:rPr/>
        <w:br/>
      </w:r>
      <w:r>
        <w:rPr>
          <w:rStyle w:val="NormalTok"/>
        </w:rPr>
        <w:t xml:space="preserve">        </w:t>
      </w:r>
      <w:r>
        <w:rPr>
          <w:rStyle w:val="AttributeTok"/>
        </w:rPr>
        <w:t>align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"l"</w:t>
      </w:r>
      <w:r>
        <w:rPr>
          <w:rStyle w:val="NormalTok"/>
        </w:rPr>
        <w:t xml:space="preserve">, </w:t>
      </w:r>
      <w:r>
        <w:rPr>
          <w:rStyle w:val="StringTok"/>
        </w:rPr>
        <w:t>"c"</w:t>
      </w:r>
      <w:r>
        <w:rPr>
          <w:rStyle w:val="NormalTok"/>
        </w:rPr>
        <w:t xml:space="preserve">, </w:t>
      </w:r>
      <w:r>
        <w:rPr>
          <w:rStyle w:val="StringTok"/>
        </w:rPr>
        <w:t>"c"</w:t>
      </w:r>
      <w:r>
        <w:rPr>
          <w:rStyle w:val="NormalTok"/>
        </w:rPr>
        <w:t xml:space="preserve">)) </w:t>
      </w:r>
      <w:r>
        <w:rPr>
          <w:rStyle w:val="SpecialCharTok"/>
        </w:rPr>
        <w:t>%&gt;%</w:t>
      </w:r>
      <w:r>
        <w:rPr/>
        <w:br/>
      </w:r>
      <w:r>
        <w:rPr>
          <w:rStyle w:val="NormalTok"/>
        </w:rPr>
        <w:t xml:space="preserve">  </w:t>
      </w:r>
      <w:r>
        <w:rPr>
          <w:rStyle w:val="FunctionTok"/>
        </w:rPr>
        <w:t>kable_styling</w:t>
      </w:r>
      <w:r>
        <w:rPr>
          <w:rStyle w:val="NormalTok"/>
        </w:rPr>
        <w:t>(</w:t>
      </w:r>
      <w:r>
        <w:rPr>
          <w:rStyle w:val="AttributeTok"/>
        </w:rPr>
        <w:t>font_size =</w:t>
      </w:r>
      <w:r>
        <w:rPr>
          <w:rStyle w:val="NormalTok"/>
        </w:rPr>
        <w:t xml:space="preserve"> </w:t>
      </w:r>
      <w:r>
        <w:rPr>
          <w:rStyle w:val="DecValTok"/>
        </w:rPr>
        <w:t>42</w:t>
      </w:r>
      <w:r>
        <w:rPr>
          <w:rStyle w:val="NormalTok"/>
        </w:rPr>
        <w:t xml:space="preserve">)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kable_material</w:t>
      </w:r>
      <w:r>
        <w:rPr>
          <w:rStyle w:val="NormalTok"/>
        </w:rPr>
        <w:t>(</w:t>
      </w:r>
      <w:r>
        <w:rPr>
          <w:rStyle w:val="StringTok"/>
        </w:rPr>
        <w:t>"hover"</w:t>
      </w:r>
      <w:r>
        <w:rPr>
          <w:rStyle w:val="NormalTok"/>
        </w:rPr>
        <w:t xml:space="preserve">)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/>
        <w:br/>
      </w:r>
      <w:r>
        <w:rPr>
          <w:rStyle w:val="NormalTok"/>
        </w:rPr>
        <w:t xml:space="preserve">  </w:t>
      </w:r>
      <w:r>
        <w:rPr>
          <w:rStyle w:val="FunctionTok"/>
        </w:rPr>
        <w:t>add_header_above</w:t>
      </w:r>
      <w:r>
        <w:rPr>
          <w:rStyle w:val="NormalTok"/>
        </w:rPr>
        <w:t>(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 "</w:t>
      </w:r>
      <w:r>
        <w:rPr>
          <w:rStyle w:val="NormalTok"/>
        </w:rPr>
        <w:t xml:space="preserve"> </w:t>
      </w:r>
      <w:r>
        <w:rPr>
          <w:rStyle w:val="OtherTok"/>
        </w:rPr>
        <w:t>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StringTok"/>
        </w:rPr>
        <w:t>"Pain Disorder Diagnosis"</w:t>
      </w:r>
      <w:r>
        <w:rPr>
          <w:rStyle w:val="NormalTok"/>
        </w:rPr>
        <w:t xml:space="preserve"> </w:t>
      </w:r>
      <w:r>
        <w:rPr>
          <w:rStyle w:val="OtherTok"/>
        </w:rPr>
        <w:t>=</w:t>
      </w:r>
      <w:r>
        <w:rPr>
          <w:rStyle w:val="NormalTok"/>
        </w:rPr>
        <w:t xml:space="preserve"> </w:t>
      </w:r>
      <w:r>
        <w:rPr>
          <w:rStyle w:val="DecValTok"/>
        </w:rPr>
        <w:t>2</w:t>
      </w:r>
      <w:r>
        <w:rPr>
          <w:rStyle w:val="NormalTok"/>
        </w:rPr>
        <w:t>))</w:t>
      </w:r>
    </w:p>
    <w:p>
      <w:pPr>
        <w:pStyle w:val="Compact"/>
        <w:numPr>
          <w:ilvl w:val="0"/>
          <w:numId w:val="225"/>
        </w:numPr>
        <w:rPr/>
      </w:pPr>
      <w:r>
        <w:rPr/>
        <w:t xml:space="preserve">Most functions in </w:t>
      </w:r>
      <w:r>
        <w:rPr>
          <w:rStyle w:val="VerbatimChar"/>
        </w:rPr>
        <w:t>R</w:t>
      </w:r>
      <w:r>
        <w:rPr/>
        <w:t xml:space="preserve"> are available in add-on packages; </w:t>
      </w:r>
      <w:hyperlink r:id="rId6">
        <w:r>
          <w:rPr>
            <w:rStyle w:val="ListLabel3556"/>
            <w:rFonts w:ascii="Consolas" w:hAnsi="Consolas"/>
            <w:sz w:val="22"/>
          </w:rPr>
          <w:t>library</w:t>
        </w:r>
      </w:hyperlink>
      <w:r>
        <w:rPr/>
        <w:t xml:space="preserve"> invokes a given package</w:t>
      </w:r>
    </w:p>
    <w:p>
      <w:pPr>
        <w:pStyle w:val="Compact"/>
        <w:numPr>
          <w:ilvl w:val="1"/>
          <w:numId w:val="226"/>
        </w:numPr>
        <w:rPr/>
      </w:pPr>
      <w:hyperlink r:id="rId7">
        <w:r>
          <w:rPr>
            <w:rStyle w:val="ListLabel3556"/>
            <w:rFonts w:ascii="Consolas" w:hAnsi="Consolas"/>
            <w:sz w:val="22"/>
          </w:rPr>
          <w:t>knitr</w:t>
        </w:r>
      </w:hyperlink>
      <w:r>
        <w:rPr/>
        <w:t xml:space="preserve"> prepares output for reports</w:t>
      </w:r>
    </w:p>
    <w:p>
      <w:pPr>
        <w:pStyle w:val="Compact"/>
        <w:numPr>
          <w:ilvl w:val="1"/>
          <w:numId w:val="227"/>
        </w:numPr>
        <w:rPr/>
      </w:pPr>
      <w:hyperlink r:id="rId8">
        <w:r>
          <w:rPr>
            <w:rStyle w:val="ListLabel3556"/>
            <w:rFonts w:ascii="Consolas" w:hAnsi="Consolas"/>
            <w:sz w:val="22"/>
          </w:rPr>
          <w:t>kableExtras</w:t>
        </w:r>
      </w:hyperlink>
      <w:r>
        <w:rPr/>
        <w:t xml:space="preserve"> pimps out tables (</w:t>
      </w:r>
      <w:hyperlink r:id="rId9">
        <w:r>
          <w:rPr>
            <w:rStyle w:val="ListLabel3556"/>
            <w:rFonts w:ascii="Consolas" w:hAnsi="Consolas"/>
            <w:sz w:val="22"/>
          </w:rPr>
          <w:t>kable</w:t>
        </w:r>
      </w:hyperlink>
      <w:r>
        <w:rPr/>
        <w:t xml:space="preserve">s) made by </w:t>
      </w:r>
      <w:r>
        <w:rPr>
          <w:rStyle w:val="VerbatimChar"/>
        </w:rPr>
        <w:t>knitr</w:t>
      </w:r>
    </w:p>
    <w:p>
      <w:pPr>
        <w:pStyle w:val="Compact"/>
        <w:numPr>
          <w:ilvl w:val="0"/>
          <w:numId w:val="228"/>
        </w:numPr>
        <w:rPr/>
      </w:pPr>
      <w:hyperlink r:id="rId10">
        <w:r>
          <w:rPr>
            <w:rStyle w:val="ListLabel3556"/>
            <w:rFonts w:ascii="Consolas" w:hAnsi="Consolas"/>
            <w:sz w:val="22"/>
          </w:rPr>
          <w:t>%&gt;%</w:t>
        </w:r>
      </w:hyperlink>
      <w:r>
        <w:rPr/>
        <w:t xml:space="preserve"> is a “pipe” command, which essentially nests commands inside other commands</w:t>
      </w:r>
    </w:p>
    <w:p>
      <w:pPr>
        <w:pStyle w:val="Compact"/>
        <w:numPr>
          <w:ilvl w:val="1"/>
          <w:numId w:val="229"/>
        </w:numPr>
        <w:rPr/>
      </w:pPr>
      <w:r>
        <w:rPr/>
        <w:t xml:space="preserve">I’m piping commands to tweak the table into the </w:t>
      </w:r>
      <w:r>
        <w:rPr>
          <w:rStyle w:val="VerbatimChar"/>
        </w:rPr>
        <w:t>pain.df</w:t>
      </w:r>
      <w:r>
        <w:rPr/>
        <w:t xml:space="preserve"> data frame</w:t>
      </w:r>
    </w:p>
    <w:p>
      <w:pPr>
        <w:pStyle w:val="Compact"/>
        <w:numPr>
          <w:ilvl w:val="1"/>
          <w:numId w:val="230"/>
        </w:numPr>
        <w:rPr/>
      </w:pPr>
      <w:r>
        <w:rPr/>
        <w:t xml:space="preserve">And having all of that assigned to the </w:t>
      </w:r>
      <w:r>
        <w:rPr>
          <w:rStyle w:val="VerbatimChar"/>
        </w:rPr>
        <w:t>table.of.pain</w:t>
      </w:r>
      <w:r>
        <w:rPr/>
        <w:t xml:space="preserve"> object</w:t>
      </w:r>
      <w:bookmarkEnd w:id="9"/>
    </w:p>
    <w:p>
      <w:pPr>
        <w:pStyle w:val="Heading2"/>
        <w:rPr/>
      </w:pPr>
      <w:r>
        <w:rPr/>
        <w:t>Risks/Probabilities (cont.)</w:t>
      </w:r>
    </w:p>
    <w:p>
      <w:pPr>
        <w:pStyle w:val="Compact"/>
        <w:numPr>
          <w:ilvl w:val="0"/>
          <w:numId w:val="231"/>
        </w:numPr>
        <w:rPr/>
      </w:pPr>
      <w:r>
        <w:rPr/>
        <w:t>Simply giving the name of an object invokes it</w:t>
      </w:r>
    </w:p>
    <w:p>
      <w:pPr>
        <w:pStyle w:val="Compact"/>
        <w:numPr>
          <w:ilvl w:val="1"/>
          <w:numId w:val="232"/>
        </w:numPr>
        <w:rPr/>
      </w:pPr>
      <w:r>
        <w:rPr/>
        <w:t>(Kinda like Satan)</w:t>
      </w:r>
    </w:p>
    <w:p>
      <w:pPr>
        <w:pStyle w:val="SourceCode"/>
        <w:rPr/>
      </w:pPr>
      <w:r>
        <w:rPr>
          <w:rStyle w:val="NormalTok"/>
        </w:rPr>
        <w:t>table.of.pain</w:t>
      </w:r>
    </w:p>
    <w:tbl>
      <w:tblPr>
        <w:tblW w:w="93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120"/>
        <w:gridCol w:w="3120"/>
        <w:gridCol w:w="3120"/>
      </w:tblGrid>
      <w:tr>
        <w:trPr>
          <w:tblHeader w:val="true"/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/>
            </w:r>
          </w:p>
        </w:tc>
        <w:tc>
          <w:tcPr>
            <w:tcW w:w="624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Pain Disorder Diagnosis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Ethnicity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Diagnosed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Not Diagnosed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Latin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72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128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Non-Latin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223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241</w:t>
            </w:r>
          </w:p>
        </w:tc>
      </w:tr>
    </w:tbl>
    <w:p>
      <w:pPr>
        <w:pStyle w:val="Heading2"/>
        <w:rPr/>
      </w:pPr>
      <w:r>
        <w:rPr/>
        <w:t>Risks/Probabilities (end)</w:t>
      </w:r>
    </w:p>
    <w:p>
      <w:pPr>
        <w:pStyle w:val="FirstParagraph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P</m:t>
          </m:r>
          <m:r>
            <w:rPr>
              <w:rFonts w:ascii="Cambria Math" w:hAnsi="Cambria Math"/>
            </w:rPr>
            <m:t xml:space="preserve">(</m:t>
          </m:r>
          <m:r>
            <w:rPr>
              <w:rFonts w:ascii="Cambria Math" w:hAnsi="Cambria Math"/>
            </w:rPr>
            <m:t xml:space="preserve">L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n</m:t>
          </m:r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P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e</m:t>
          </m:r>
          <m:r>
            <w:rPr>
              <w:rFonts w:ascii="Cambria Math" w:hAnsi="Cambria Math"/>
            </w:rPr>
            <m:t xml:space="preserve">n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H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s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P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n</m:t>
          </m:r>
          <m:r>
            <w:rPr>
              <w:rFonts w:ascii="Cambria Math" w:hAnsi="Cambria Math"/>
            </w:rPr>
            <m:t xml:space="preserve">D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s</m:t>
          </m:r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d</m:t>
          </m:r>
          <m:r>
            <w:rPr>
              <w:rFonts w:ascii="Cambria Math" w:hAnsi="Cambria Math"/>
            </w:rPr>
            <m:t xml:space="preserve">e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)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g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v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t</m:t>
              </m:r>
            </m:num>
            <m:den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l</m:t>
              </m:r>
              <m:r>
                <w:rPr>
                  <w:rFonts w:ascii="Cambria Math" w:hAnsi="Cambria Math"/>
                </w:rPr>
                <m:t xml:space="preserve">l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v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s</m:t>
              </m:r>
            </m:den>
          </m:f>
        </m:oMath>
      </m:oMathPara>
    </w:p>
    <w:p>
      <w:pPr>
        <w:pStyle w:val="FirstParagraph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f>
            <m:num>
              <m:r>
                <w:rPr>
                  <w:rFonts w:ascii="Cambria Math" w:hAnsi="Cambria Math"/>
                </w:rPr>
                <m:t xml:space="preserve">L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s</m:t>
              </m:r>
              <m:bar>
                <m:barPr>
                  <m:pos m:val="top"/>
                </m:barPr>
                <m:e>
                  <m:r>
                    <w:rPr>
                      <w:rFonts w:ascii="Cambria Math" w:hAnsi="Cambria Math"/>
                    </w:rPr>
                    <m:t xml:space="preserve">c</m:t>
                  </m:r>
                </m:e>
              </m:bar>
              <m:r>
                <w:rPr>
                  <w:rFonts w:ascii="Cambria Math" w:hAnsi="Cambria Math"/>
                </w:rPr>
                <m:t xml:space="preserve">P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D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s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d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s</m:t>
              </m:r>
            </m:num>
            <m:den>
              <m:r>
                <w:rPr>
                  <w:rFonts w:ascii="Cambria Math" w:hAnsi="Cambria Math"/>
                </w:rPr>
                <m:t xml:space="preserve">(</m:t>
              </m:r>
              <m:r>
                <w:rPr>
                  <w:rFonts w:ascii="Cambria Math" w:hAnsi="Cambria Math"/>
                </w:rPr>
                <m:t xml:space="preserve">L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s</m:t>
              </m:r>
              <m:bar>
                <m:barPr>
                  <m:pos m:val="top"/>
                </m:barPr>
                <m:e>
                  <m:r>
                    <w:rPr>
                      <w:rFonts w:ascii="Cambria Math" w:hAnsi="Cambria Math"/>
                    </w:rPr>
                    <m:t xml:space="preserve">c</m:t>
                  </m:r>
                </m:e>
              </m:bar>
              <m:r>
                <w:rPr>
                  <w:rFonts w:ascii="Cambria Math" w:hAnsi="Cambria Math"/>
                </w:rPr>
                <m:t xml:space="preserve">P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D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s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d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s</m:t>
              </m:r>
              <m:r>
                <w:rPr>
                  <w:rFonts w:ascii="Cambria Math" w:hAnsi="Cambria Math"/>
                </w:rPr>
                <m:t xml:space="preserve">)</m:t>
              </m:r>
              <m:r>
                <w:rPr>
                  <w:rFonts w:ascii="Cambria Math" w:hAnsi="Cambria Math"/>
                </w:rPr>
                <m:t xml:space="preserve">+</m:t>
              </m:r>
              <m:r>
                <w:rPr>
                  <w:rFonts w:ascii="Cambria Math" w:hAnsi="Cambria Math"/>
                </w:rPr>
                <m:t xml:space="preserve">(</m:t>
              </m:r>
              <m:r>
                <w:rPr>
                  <w:rFonts w:ascii="Cambria Math" w:hAnsi="Cambria Math"/>
                </w:rPr>
                <m:t xml:space="preserve">L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s</m:t>
              </m:r>
              <m:bar>
                <m:barPr>
                  <m:pos m:val="top"/>
                </m:barPr>
                <m:e>
                  <m:r>
                    <w:rPr>
                      <w:rFonts w:ascii="Cambria Math" w:hAnsi="Cambria Math"/>
                    </w:rPr>
                    <m:t xml:space="preserve">s</m:t>
                  </m:r>
                </m:e>
              </m:bar>
              <m:r>
                <w:rPr>
                  <w:rFonts w:ascii="Cambria Math" w:hAnsi="Cambria Math"/>
                </w:rPr>
                <m:t xml:space="preserve">P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D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s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d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s</m:t>
              </m:r>
              <m:r>
                <w:rPr>
                  <w:rFonts w:ascii="Cambria Math" w:hAnsi="Cambria Math"/>
                </w:rPr>
                <m:t xml:space="preserve">)</m:t>
              </m:r>
            </m:den>
          </m:f>
        </m:oMath>
      </m:oMathPara>
    </w:p>
    <w:p>
      <w:pPr>
        <w:pStyle w:val="FirstParagraph"/>
        <w:jc w:val="center"/>
        <w:rPr/>
      </w:pPr>
      <w:bookmarkStart w:id="10" w:name="risksprobabilities-end"/>
      <w:r>
        <w:rPr/>
      </w:r>
      <m:oMathPara xmlns:m="http://schemas.openxmlformats.org/officeDocument/2006/math">
        <m:oMathParaPr>
          <m:jc m:val="center"/>
        </m:oMathParaPr>
        <m:oMath>
          <m:f>
            <m:num>
              <m:r>
                <w:rPr>
                  <w:rFonts w:ascii="Cambria Math" w:hAnsi="Cambria Math"/>
                </w:rPr>
                <m:t xml:space="preserve">72</m:t>
              </m:r>
            </m:num>
            <m:den>
              <m:r>
                <w:rPr>
                  <w:rFonts w:ascii="Cambria Math" w:hAnsi="Cambria Math"/>
                </w:rPr>
                <m:t xml:space="preserve">72</m:t>
              </m:r>
              <m:r>
                <w:rPr>
                  <w:rFonts w:ascii="Cambria Math" w:hAnsi="Cambria Math"/>
                </w:rPr>
                <m:t xml:space="preserve">+</m:t>
              </m:r>
              <m:r>
                <w:rPr>
                  <w:rFonts w:ascii="Cambria Math" w:hAnsi="Cambria Math"/>
                </w:rPr>
                <m:t xml:space="preserve">128</m:t>
              </m:r>
            </m:den>
          </m:f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72</m:t>
              </m:r>
            </m:num>
            <m:den>
              <m:r>
                <w:rPr>
                  <w:rFonts w:ascii="Cambria Math" w:hAnsi="Cambria Math"/>
                </w:rPr>
                <m:t xml:space="preserve">200</m:t>
              </m:r>
            </m:den>
          </m:f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.36</m:t>
          </m:r>
        </m:oMath>
      </m:oMathPara>
      <w:bookmarkEnd w:id="10"/>
    </w:p>
    <w:p>
      <w:pPr>
        <w:pStyle w:val="Heading2"/>
        <w:rPr/>
      </w:pPr>
      <w:bookmarkStart w:id="11" w:name="more-computations-with-r"/>
      <w:r>
        <w:rPr/>
        <w:t>More Computations with R</w:t>
      </w:r>
    </w:p>
    <w:p>
      <w:pPr>
        <w:pStyle w:val="Compact"/>
        <w:numPr>
          <w:ilvl w:val="0"/>
          <w:numId w:val="233"/>
        </w:numPr>
        <w:rPr/>
      </w:pPr>
      <w:r>
        <w:rPr/>
        <w:t>Brackets (</w:t>
      </w:r>
      <w:r>
        <w:rPr>
          <w:rStyle w:val="VerbatimChar"/>
        </w:rPr>
        <w:t>[]</w:t>
      </w:r>
      <w:r>
        <w:rPr/>
        <w:t>) index parts (“elements”) of an object</w:t>
      </w:r>
    </w:p>
    <w:p>
      <w:pPr>
        <w:pStyle w:val="SourceCode"/>
        <w:rPr/>
      </w:pPr>
      <w:r>
        <w:rPr>
          <w:rStyle w:val="NormalTok"/>
        </w:rPr>
        <w:t>pain.df[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ecValTok"/>
        </w:rPr>
        <w:t>1</w:t>
      </w:r>
      <w:r>
        <w:rPr>
          <w:rStyle w:val="NormalTok"/>
        </w:rPr>
        <w:t xml:space="preserve">] </w:t>
      </w:r>
      <w:r>
        <w:rPr>
          <w:rStyle w:val="CommentTok"/>
        </w:rPr>
        <w:t># First row, first column</w:t>
      </w:r>
    </w:p>
    <w:p>
      <w:pPr>
        <w:pStyle w:val="SourceCode"/>
        <w:rPr/>
      </w:pPr>
      <w:r>
        <w:rPr>
          <w:rStyle w:val="VerbatimChar"/>
        </w:rPr>
        <w:t>## [1] "Latin"</w:t>
      </w:r>
    </w:p>
    <w:p>
      <w:pPr>
        <w:pStyle w:val="SourceCode"/>
        <w:rPr/>
      </w:pPr>
      <w:r>
        <w:rPr>
          <w:rStyle w:val="NormalTok"/>
        </w:rPr>
        <w:t>pain.df[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ecValTok"/>
        </w:rPr>
        <w:t>2</w:t>
      </w:r>
      <w:r>
        <w:rPr>
          <w:rStyle w:val="NormalTok"/>
        </w:rPr>
        <w:t xml:space="preserve">] </w:t>
      </w:r>
      <w:r>
        <w:rPr>
          <w:rStyle w:val="CommentTok"/>
        </w:rPr>
        <w:t># First row, second column</w:t>
      </w:r>
    </w:p>
    <w:p>
      <w:pPr>
        <w:pStyle w:val="SourceCode"/>
        <w:rPr/>
      </w:pPr>
      <w:r>
        <w:rPr>
          <w:rStyle w:val="VerbatimChar"/>
        </w:rPr>
        <w:t>## [1] 72</w:t>
      </w:r>
    </w:p>
    <w:p>
      <w:pPr>
        <w:pStyle w:val="SourceCode"/>
        <w:rPr/>
      </w:pPr>
      <w:r>
        <w:rPr>
          <w:rStyle w:val="NormalTok"/>
        </w:rPr>
        <w:t>pain.df[</w:t>
      </w:r>
      <w:r>
        <w:rPr>
          <w:rStyle w:val="DecValTok"/>
        </w:rPr>
        <w:t>1</w:t>
      </w:r>
      <w:r>
        <w:rPr>
          <w:rStyle w:val="NormalTok"/>
        </w:rPr>
        <w:t xml:space="preserve">, ] </w:t>
      </w:r>
      <w:r>
        <w:rPr>
          <w:rStyle w:val="CommentTok"/>
        </w:rPr>
        <w:t># The whole first row</w:t>
      </w:r>
    </w:p>
    <w:p>
      <w:pPr>
        <w:pStyle w:val="SourceCode"/>
        <w:rPr/>
      </w:pPr>
      <w:r>
        <w:rPr>
          <w:rStyle w:val="VerbatimChar"/>
        </w:rPr>
        <w:t>##   Ethnicity Diagnosed Not_Diagnosed</w:t>
      </w:r>
      <w:r>
        <w:rPr/>
        <w:br/>
      </w:r>
      <w:r>
        <w:rPr>
          <w:rStyle w:val="VerbatimChar"/>
        </w:rPr>
        <w:t>## 1     Latin        72           128</w:t>
      </w:r>
      <w:bookmarkEnd w:id="11"/>
    </w:p>
    <w:p>
      <w:pPr>
        <w:pStyle w:val="Heading2"/>
        <w:rPr/>
      </w:pPr>
      <w:r>
        <w:rPr/>
        <w:t>More Computations with R (cont.)</w:t>
      </w:r>
    </w:p>
    <w:p>
      <w:pPr>
        <w:pStyle w:val="SourceCode"/>
        <w:rPr/>
      </w:pPr>
      <w:r>
        <w:rPr>
          <w:rStyle w:val="NormalTok"/>
        </w:rPr>
        <w:t>pain.df</w:t>
      </w:r>
    </w:p>
    <w:p>
      <w:pPr>
        <w:pStyle w:val="SourceCode"/>
        <w:rPr/>
      </w:pPr>
      <w:r>
        <w:rPr>
          <w:rStyle w:val="VerbatimChar"/>
        </w:rPr>
        <w:t>##   Ethnicity Diagnosed Not_Diagnosed</w:t>
      </w:r>
      <w:r>
        <w:rPr/>
        <w:br/>
      </w:r>
      <w:r>
        <w:rPr>
          <w:rStyle w:val="VerbatimChar"/>
        </w:rPr>
        <w:t>## 1     Latin        72           128</w:t>
      </w:r>
      <w:r>
        <w:rPr/>
        <w:br/>
      </w:r>
      <w:r>
        <w:rPr>
          <w:rStyle w:val="VerbatimChar"/>
        </w:rPr>
        <w:t>## 2 Non-Latin       223           241</w:t>
      </w:r>
    </w:p>
    <w:p>
      <w:pPr>
        <w:pStyle w:val="SourceCode"/>
        <w:rPr/>
      </w:pPr>
      <w:r>
        <w:rPr>
          <w:rStyle w:val="NormalTok"/>
        </w:rPr>
        <w:t>pain.df[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ecValTok"/>
        </w:rPr>
        <w:t>2</w:t>
      </w:r>
      <w:r>
        <w:rPr>
          <w:rStyle w:val="NormalTok"/>
        </w:rPr>
        <w:t xml:space="preserve">] </w:t>
      </w:r>
      <w:r>
        <w:rPr>
          <w:rStyle w:val="SpecialCharTok"/>
        </w:rPr>
        <w:t>+</w:t>
      </w:r>
      <w:r>
        <w:rPr>
          <w:rStyle w:val="NormalTok"/>
        </w:rPr>
        <w:t xml:space="preserve"> pain.df[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ecValTok"/>
        </w:rPr>
        <w:t>3</w:t>
      </w:r>
      <w:r>
        <w:rPr>
          <w:rStyle w:val="NormalTok"/>
        </w:rPr>
        <w:t>]</w:t>
      </w:r>
    </w:p>
    <w:p>
      <w:pPr>
        <w:pStyle w:val="SourceCode"/>
        <w:rPr/>
      </w:pPr>
      <w:r>
        <w:rPr>
          <w:rStyle w:val="VerbatimChar"/>
        </w:rPr>
        <w:t>## [1] 200</w:t>
      </w:r>
    </w:p>
    <w:p>
      <w:pPr>
        <w:pStyle w:val="SourceCode"/>
        <w:rPr/>
      </w:pPr>
      <w:r>
        <w:rPr>
          <w:rStyle w:val="NormalTok"/>
        </w:rPr>
        <w:t xml:space="preserve">p.latin.patient.diagnosed.with.pain.disorder </w:t>
      </w:r>
      <w:r>
        <w:rPr>
          <w:rStyle w:val="OtherTok"/>
        </w:rPr>
        <w:t>&lt;-</w:t>
      </w:r>
      <w:r>
        <w:rPr>
          <w:rStyle w:val="NormalTok"/>
        </w:rPr>
        <w:t xml:space="preserve"> pain.df[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ecValTok"/>
        </w:rPr>
        <w:t>2</w:t>
      </w:r>
      <w:r>
        <w:rPr>
          <w:rStyle w:val="NormalTok"/>
        </w:rPr>
        <w:t xml:space="preserve">] </w:t>
      </w:r>
      <w:r>
        <w:rPr>
          <w:rStyle w:val="SpecialCharTok"/>
        </w:rPr>
        <w:t>/</w:t>
      </w:r>
      <w:r>
        <w:rPr>
          <w:rStyle w:val="NormalTok"/>
        </w:rPr>
        <w:t xml:space="preserve"> (pain.df[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ecValTok"/>
        </w:rPr>
        <w:t>2</w:t>
      </w:r>
      <w:r>
        <w:rPr>
          <w:rStyle w:val="NormalTok"/>
        </w:rPr>
        <w:t xml:space="preserve">] </w:t>
      </w:r>
      <w:r>
        <w:rPr>
          <w:rStyle w:val="SpecialCharTok"/>
        </w:rPr>
        <w:t>+</w:t>
      </w:r>
      <w:r>
        <w:rPr>
          <w:rStyle w:val="NormalTok"/>
        </w:rPr>
        <w:t xml:space="preserve"> pain.df[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ecValTok"/>
        </w:rPr>
        <w:t>3</w:t>
      </w:r>
      <w:r>
        <w:rPr>
          <w:rStyle w:val="NormalTok"/>
        </w:rPr>
        <w:t>])</w:t>
      </w:r>
      <w:r>
        <w:rPr/>
        <w:br/>
      </w:r>
      <w:r>
        <w:rPr>
          <w:rStyle w:val="NormalTok"/>
        </w:rPr>
        <w:t>p.latin.patient.diagnosed.with.pain.disorder</w:t>
      </w:r>
    </w:p>
    <w:p>
      <w:pPr>
        <w:pStyle w:val="SourceCode"/>
        <w:rPr/>
      </w:pPr>
      <w:bookmarkStart w:id="12" w:name="more-computations-with-r-cont."/>
      <w:r>
        <w:rPr>
          <w:rStyle w:val="VerbatimChar"/>
        </w:rPr>
        <w:t>## [1] 0.36</w:t>
      </w:r>
      <w:bookmarkEnd w:id="12"/>
    </w:p>
    <w:p>
      <w:pPr>
        <w:pStyle w:val="Heading2"/>
        <w:rPr/>
      </w:pPr>
      <w:r>
        <w:rPr/>
        <w:t>More Computations with R (cont.)</w:t>
      </w:r>
    </w:p>
    <w:p>
      <w:pPr>
        <w:pStyle w:val="Compact"/>
        <w:numPr>
          <w:ilvl w:val="0"/>
          <w:numId w:val="234"/>
        </w:numPr>
        <w:rPr/>
      </w:pPr>
      <w:hyperlink r:id="rId11">
        <w:r>
          <w:rPr>
            <w:rStyle w:val="ListLabel3556"/>
            <w:rFonts w:ascii="Consolas" w:hAnsi="Consolas"/>
            <w:sz w:val="22"/>
          </w:rPr>
          <w:t>$</w:t>
        </w:r>
      </w:hyperlink>
      <w:r>
        <w:rPr/>
        <w:t xml:space="preserve"> accesses a column (or other variable-like element) of an object…</w:t>
      </w:r>
    </w:p>
    <w:p>
      <w:pPr>
        <w:pStyle w:val="SourceCode"/>
        <w:rPr/>
      </w:pPr>
      <w:r>
        <w:rPr>
          <w:rStyle w:val="NormalTok"/>
        </w:rPr>
        <w:t>pain.df</w:t>
      </w:r>
      <w:r>
        <w:rPr>
          <w:rStyle w:val="SpecialCharTok"/>
        </w:rPr>
        <w:t>$</w:t>
      </w:r>
      <w:r>
        <w:rPr>
          <w:rStyle w:val="NormalTok"/>
        </w:rPr>
        <w:t>Ethnicity</w:t>
      </w:r>
    </w:p>
    <w:p>
      <w:pPr>
        <w:pStyle w:val="SourceCode"/>
        <w:rPr/>
      </w:pPr>
      <w:r>
        <w:rPr>
          <w:rStyle w:val="VerbatimChar"/>
        </w:rPr>
        <w:t>## [1] "Latin"     "Non-Latin"</w:t>
      </w:r>
    </w:p>
    <w:p>
      <w:pPr>
        <w:pStyle w:val="SourceCode"/>
        <w:rPr/>
      </w:pPr>
      <w:r>
        <w:rPr>
          <w:rStyle w:val="NormalTok"/>
        </w:rPr>
        <w:t>pain.df</w:t>
      </w:r>
      <w:r>
        <w:rPr>
          <w:rStyle w:val="SpecialCharTok"/>
        </w:rPr>
        <w:t>$</w:t>
      </w:r>
      <w:r>
        <w:rPr>
          <w:rStyle w:val="NormalTok"/>
        </w:rPr>
        <w:t>Diagnosed</w:t>
      </w:r>
    </w:p>
    <w:p>
      <w:pPr>
        <w:pStyle w:val="SourceCode"/>
        <w:rPr/>
      </w:pPr>
      <w:bookmarkStart w:id="13" w:name="more-computations-with-r-cont.-1"/>
      <w:r>
        <w:rPr>
          <w:rStyle w:val="VerbatimChar"/>
        </w:rPr>
        <w:t>## [1]  72 223</w:t>
      </w:r>
      <w:bookmarkEnd w:id="13"/>
    </w:p>
    <w:p>
      <w:pPr>
        <w:pStyle w:val="Heading2"/>
        <w:rPr/>
      </w:pPr>
      <w:r>
        <w:rPr/>
        <w:t>More Computations with R (cont.)</w:t>
      </w:r>
    </w:p>
    <w:p>
      <w:pPr>
        <w:pStyle w:val="Compact"/>
        <w:numPr>
          <w:ilvl w:val="0"/>
          <w:numId w:val="235"/>
        </w:numPr>
        <w:rPr/>
      </w:pPr>
      <w:r>
        <w:rPr/>
        <w:t>We can do computations etc. on these columns</w:t>
      </w:r>
    </w:p>
    <w:p>
      <w:pPr>
        <w:pStyle w:val="SourceCode"/>
        <w:rPr/>
      </w:pPr>
      <w:r>
        <w:rPr>
          <w:rStyle w:val="NormalTok"/>
        </w:rPr>
        <w:t>pain.df</w:t>
      </w:r>
      <w:r>
        <w:rPr>
          <w:rStyle w:val="SpecialCharTok"/>
        </w:rPr>
        <w:t>$</w:t>
      </w:r>
      <w:r>
        <w:rPr>
          <w:rStyle w:val="NormalTok"/>
        </w:rPr>
        <w:t xml:space="preserve">Diagnosed </w:t>
      </w:r>
      <w:r>
        <w:rPr>
          <w:rStyle w:val="SpecialCharTok"/>
        </w:rPr>
        <w:t>/</w:t>
      </w:r>
      <w:r>
        <w:rPr>
          <w:rStyle w:val="NormalTok"/>
        </w:rPr>
        <w:t xml:space="preserve"> (pain.df</w:t>
      </w:r>
      <w:r>
        <w:rPr>
          <w:rStyle w:val="SpecialCharTok"/>
        </w:rPr>
        <w:t>$</w:t>
      </w:r>
      <w:r>
        <w:rPr>
          <w:rStyle w:val="NormalTok"/>
        </w:rPr>
        <w:t xml:space="preserve">Diagnosed </w:t>
      </w:r>
      <w:r>
        <w:rPr>
          <w:rStyle w:val="SpecialCharTok"/>
        </w:rPr>
        <w:t>+</w:t>
      </w:r>
      <w:r>
        <w:rPr>
          <w:rStyle w:val="NormalTok"/>
        </w:rPr>
        <w:t xml:space="preserve"> pain.df</w:t>
      </w:r>
      <w:r>
        <w:rPr>
          <w:rStyle w:val="SpecialCharTok"/>
        </w:rPr>
        <w:t>$</w:t>
      </w:r>
      <w:r>
        <w:rPr>
          <w:rStyle w:val="NormalTok"/>
        </w:rPr>
        <w:t>Not_Diagnosed)</w:t>
      </w:r>
    </w:p>
    <w:p>
      <w:pPr>
        <w:pStyle w:val="SourceCode"/>
        <w:rPr/>
      </w:pPr>
      <w:bookmarkStart w:id="14" w:name="more-computations-with-r-cont.-2"/>
      <w:r>
        <w:rPr>
          <w:rStyle w:val="VerbatimChar"/>
        </w:rPr>
        <w:t>## [1] 0.3600000 0.4806034</w:t>
      </w:r>
      <w:bookmarkEnd w:id="14"/>
    </w:p>
    <w:p>
      <w:pPr>
        <w:pStyle w:val="Heading2"/>
        <w:rPr/>
      </w:pPr>
      <w:bookmarkStart w:id="15" w:name="more-computations-with-r-cont.-3"/>
      <w:r>
        <w:rPr/>
        <w:t>More Computations with R (cont.)</w:t>
      </w:r>
    </w:p>
    <w:p>
      <w:pPr>
        <w:pStyle w:val="Compact"/>
        <w:numPr>
          <w:ilvl w:val="0"/>
          <w:numId w:val="236"/>
        </w:numPr>
        <w:rPr/>
      </w:pPr>
      <w:r>
        <w:rPr/>
        <w:t>And assign those computations to an element</w:t>
      </w:r>
    </w:p>
    <w:p>
      <w:pPr>
        <w:pStyle w:val="Compact"/>
        <w:numPr>
          <w:ilvl w:val="1"/>
          <w:numId w:val="237"/>
        </w:numPr>
        <w:rPr/>
      </w:pPr>
      <w:r>
        <w:rPr/>
        <w:t>That’s also part of that data frame</w:t>
      </w:r>
    </w:p>
    <w:p>
      <w:pPr>
        <w:pStyle w:val="SourceCode"/>
        <w:rPr/>
      </w:pPr>
      <w:r>
        <w:rPr>
          <w:rStyle w:val="NormalTok"/>
        </w:rPr>
        <w:t>pain.df</w:t>
      </w:r>
      <w:r>
        <w:rPr>
          <w:rStyle w:val="SpecialCharTok"/>
        </w:rPr>
        <w:t>$</w:t>
      </w:r>
      <w:r>
        <w:rPr>
          <w:rStyle w:val="NormalTok"/>
        </w:rPr>
        <w:t xml:space="preserve">Risk_of_Pain_Diagnosis </w:t>
      </w:r>
      <w:r>
        <w:rPr>
          <w:rStyle w:val="OtherTok"/>
        </w:rPr>
        <w:t>&lt;-</w:t>
      </w:r>
      <w:r>
        <w:rPr>
          <w:rStyle w:val="NormalTok"/>
        </w:rPr>
        <w:t xml:space="preserve"> pain.df</w:t>
      </w:r>
      <w:r>
        <w:rPr>
          <w:rStyle w:val="SpecialCharTok"/>
        </w:rPr>
        <w:t>$</w:t>
      </w:r>
      <w:r>
        <w:rPr>
          <w:rStyle w:val="NormalTok"/>
        </w:rPr>
        <w:t xml:space="preserve">Diagnosed </w:t>
      </w:r>
      <w:r>
        <w:rPr>
          <w:rStyle w:val="SpecialCharTok"/>
        </w:rPr>
        <w:t>/</w:t>
      </w:r>
      <w:r>
        <w:rPr/>
        <w:br/>
      </w:r>
      <w:r>
        <w:rPr>
          <w:rStyle w:val="NormalTok"/>
        </w:rPr>
        <w:t xml:space="preserve">          (pain.df</w:t>
      </w:r>
      <w:r>
        <w:rPr>
          <w:rStyle w:val="SpecialCharTok"/>
        </w:rPr>
        <w:t>$</w:t>
      </w:r>
      <w:r>
        <w:rPr>
          <w:rStyle w:val="NormalTok"/>
        </w:rPr>
        <w:t xml:space="preserve">Diagnosed </w:t>
      </w:r>
      <w:r>
        <w:rPr>
          <w:rStyle w:val="SpecialCharTok"/>
        </w:rPr>
        <w:t>+</w:t>
      </w:r>
      <w:r>
        <w:rPr>
          <w:rStyle w:val="NormalTok"/>
        </w:rPr>
        <w:t xml:space="preserve"> pain.df</w:t>
      </w:r>
      <w:r>
        <w:rPr>
          <w:rStyle w:val="SpecialCharTok"/>
        </w:rPr>
        <w:t>$</w:t>
      </w:r>
      <w:r>
        <w:rPr>
          <w:rStyle w:val="NormalTok"/>
        </w:rPr>
        <w:t>Not_Diagnosed)</w:t>
      </w:r>
      <w:r>
        <w:rPr/>
        <w:br/>
      </w:r>
      <w:r>
        <w:rPr>
          <w:rStyle w:val="NormalTok"/>
        </w:rPr>
        <w:t>pain.df</w:t>
      </w:r>
      <w:r>
        <w:rPr>
          <w:rStyle w:val="SpecialCharTok"/>
        </w:rPr>
        <w:t>$</w:t>
      </w:r>
      <w:r>
        <w:rPr>
          <w:rStyle w:val="NormalTok"/>
        </w:rPr>
        <w:t>Risk_of_Pain_Diagnosis</w:t>
      </w:r>
    </w:p>
    <w:p>
      <w:pPr>
        <w:pStyle w:val="SourceCode"/>
        <w:rPr/>
      </w:pPr>
      <w:r>
        <w:rPr>
          <w:rStyle w:val="VerbatimChar"/>
        </w:rPr>
        <w:t>## [1] 0.3600000 0.4806034</w:t>
      </w:r>
    </w:p>
    <w:p>
      <w:pPr>
        <w:pStyle w:val="SourceCode"/>
        <w:rPr/>
      </w:pPr>
      <w:r>
        <w:rPr>
          <w:rStyle w:val="NormalTok"/>
        </w:rPr>
        <w:t>pain.df</w:t>
      </w:r>
    </w:p>
    <w:p>
      <w:pPr>
        <w:pStyle w:val="SourceCode"/>
        <w:rPr/>
      </w:pPr>
      <w:r>
        <w:rPr>
          <w:rStyle w:val="VerbatimChar"/>
        </w:rPr>
        <w:t>##   Ethnicity Diagnosed Not_Diagnosed Risk_of_Pain_Diagnosis</w:t>
      </w:r>
      <w:r>
        <w:rPr/>
        <w:br/>
      </w:r>
      <w:r>
        <w:rPr>
          <w:rStyle w:val="VerbatimChar"/>
        </w:rPr>
        <w:t>## 1     Latin        72           128              0.3600000</w:t>
      </w:r>
      <w:r>
        <w:rPr/>
        <w:br/>
      </w:r>
      <w:r>
        <w:rPr>
          <w:rStyle w:val="VerbatimChar"/>
        </w:rPr>
        <w:t>## 2 Non-Latin       223           241              0.4806034</w:t>
      </w:r>
      <w:bookmarkEnd w:id="15"/>
    </w:p>
    <w:p>
      <w:pPr>
        <w:pStyle w:val="Heading2"/>
        <w:rPr/>
      </w:pPr>
      <w:r>
        <w:rPr/>
        <w:t>More Computations with R (end)</w:t>
      </w:r>
    </w:p>
    <w:p>
      <w:pPr>
        <w:pStyle w:val="Compact"/>
        <w:numPr>
          <w:ilvl w:val="0"/>
          <w:numId w:val="238"/>
        </w:numPr>
        <w:rPr/>
      </w:pPr>
      <w:r>
        <w:rPr/>
        <w:t xml:space="preserve">The </w:t>
      </w:r>
      <w:r>
        <w:rPr>
          <w:b/>
          <w:bCs/>
        </w:rPr>
        <w:t>risk ratio</w:t>
      </w:r>
      <w:r>
        <w:rPr/>
        <w:t xml:space="preserve"> is simply the ratio of these risks:</w:t>
      </w:r>
    </w:p>
    <w:p>
      <w:pPr>
        <w:pStyle w:val="FirstParagraph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s</m:t>
          </m:r>
          <m:r>
            <w:rPr>
              <w:rFonts w:ascii="Cambria Math" w:hAnsi="Cambria Math"/>
            </w:rPr>
            <m:t xml:space="preserve">k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s</m:t>
              </m:r>
              <m:r>
                <w:rPr>
                  <w:rFonts w:ascii="Cambria Math" w:hAnsi="Cambria Math"/>
                </w:rPr>
                <m:t xml:space="preserve">k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m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g</m:t>
              </m:r>
              <m:r>
                <w:rPr>
                  <w:rFonts w:ascii="Cambria Math" w:hAnsi="Cambria Math"/>
                </w:rPr>
                <m:t xml:space="preserve">L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P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s</m:t>
              </m:r>
            </m:num>
            <m:den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s</m:t>
              </m:r>
              <m:r>
                <w:rPr>
                  <w:rFonts w:ascii="Cambria Math" w:hAnsi="Cambria Math"/>
                </w:rPr>
                <m:t xml:space="preserve">k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m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g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-</m:t>
              </m:r>
              <m:r>
                <w:rPr>
                  <w:rFonts w:ascii="Cambria Math" w:hAnsi="Cambria Math"/>
                </w:rPr>
                <m:t xml:space="preserve">L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P</m:t>
              </m:r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s</m:t>
              </m:r>
            </m:den>
          </m:f>
        </m:oMath>
      </m:oMathPara>
    </w:p>
    <w:p>
      <w:pPr>
        <w:pStyle w:val="FirstParagraph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f>
            <m:num>
              <m:r>
                <w:rPr>
                  <w:rFonts w:ascii="Cambria Math" w:hAnsi="Cambria Math"/>
                </w:rPr>
                <m:t xml:space="preserve">.36</m:t>
              </m:r>
            </m:num>
            <m:den>
              <m:r>
                <w:rPr>
                  <w:rFonts w:ascii="Cambria Math" w:hAnsi="Cambria Math"/>
                </w:rPr>
                <m:t xml:space="preserve">∼</m:t>
              </m:r>
              <m:r>
                <w:rPr>
                  <w:rFonts w:ascii="Cambria Math" w:hAnsi="Cambria Math"/>
                </w:rPr>
                <m:t xml:space="preserve">.48</m:t>
              </m:r>
            </m:den>
          </m:f>
          <m:r>
            <w:rPr>
              <w:rFonts w:ascii="Cambria Math" w:hAnsi="Cambria Math"/>
            </w:rPr>
            <m:t xml:space="preserve">≈</m:t>
          </m:r>
          <m:r>
            <w:rPr>
              <w:rFonts w:ascii="Cambria Math" w:hAnsi="Cambria Math"/>
            </w:rPr>
            <m:t xml:space="preserve">.75</m:t>
          </m:r>
        </m:oMath>
      </m:oMathPara>
    </w:p>
    <w:p>
      <w:pPr>
        <w:pStyle w:val="SourceCode"/>
        <w:rPr/>
      </w:pPr>
      <w:r>
        <w:rPr>
          <w:rStyle w:val="NormalTok"/>
        </w:rPr>
        <w:t xml:space="preserve">risk_ratio </w:t>
      </w:r>
      <w:r>
        <w:rPr>
          <w:rStyle w:val="OtherTok"/>
        </w:rPr>
        <w:t>&lt;-</w:t>
      </w:r>
      <w:r>
        <w:rPr>
          <w:rStyle w:val="NormalTok"/>
        </w:rPr>
        <w:t xml:space="preserve"> pain.df</w:t>
      </w:r>
      <w:r>
        <w:rPr>
          <w:rStyle w:val="SpecialCharTok"/>
        </w:rPr>
        <w:t>$</w:t>
      </w:r>
      <w:r>
        <w:rPr>
          <w:rStyle w:val="NormalTok"/>
        </w:rPr>
        <w:t>Risk_of_Pain_Diagnosis[</w:t>
      </w:r>
      <w:r>
        <w:rPr>
          <w:rStyle w:val="DecValTok"/>
        </w:rPr>
        <w:t>1</w:t>
      </w:r>
      <w:r>
        <w:rPr>
          <w:rStyle w:val="NormalTok"/>
        </w:rPr>
        <w:t xml:space="preserve">] </w:t>
      </w:r>
      <w:r>
        <w:rPr>
          <w:rStyle w:val="SpecialCharTok"/>
        </w:rPr>
        <w:t>/</w:t>
      </w:r>
      <w:r>
        <w:rPr/>
        <w:br/>
      </w:r>
      <w:r>
        <w:rPr>
          <w:rStyle w:val="NormalTok"/>
        </w:rPr>
        <w:t xml:space="preserve">              pain.df</w:t>
      </w:r>
      <w:r>
        <w:rPr>
          <w:rStyle w:val="SpecialCharTok"/>
        </w:rPr>
        <w:t>$</w:t>
      </w:r>
      <w:r>
        <w:rPr>
          <w:rStyle w:val="NormalTok"/>
        </w:rPr>
        <w:t>Risk_of_Pain_Diagnosis[</w:t>
      </w:r>
      <w:r>
        <w:rPr>
          <w:rStyle w:val="DecValTok"/>
        </w:rPr>
        <w:t>2</w:t>
      </w:r>
      <w:r>
        <w:rPr>
          <w:rStyle w:val="NormalTok"/>
        </w:rPr>
        <w:t>]</w:t>
      </w:r>
      <w:r>
        <w:rPr/>
        <w:br/>
      </w:r>
      <w:r>
        <w:rPr>
          <w:rStyle w:val="NormalTok"/>
        </w:rPr>
        <w:t>risk_ratio</w:t>
      </w:r>
    </w:p>
    <w:p>
      <w:pPr>
        <w:pStyle w:val="SourceCode"/>
        <w:rPr/>
      </w:pPr>
      <w:bookmarkStart w:id="16" w:name="risks-probabilities-risk-ratios"/>
      <w:bookmarkStart w:id="17" w:name="more-computations-with-r-end"/>
      <w:r>
        <w:rPr>
          <w:rStyle w:val="VerbatimChar"/>
        </w:rPr>
        <w:t>## [1] 0.7490583</w:t>
      </w:r>
      <w:bookmarkEnd w:id="16"/>
      <w:bookmarkEnd w:id="17"/>
    </w:p>
    <w:p>
      <w:pPr>
        <w:pStyle w:val="Heading1"/>
        <w:rPr/>
      </w:pPr>
      <w:r>
        <w:rPr/>
        <w:t>Hazards &amp;Hazard Ratios</w:t>
      </w:r>
    </w:p>
    <w:p>
      <w:pPr>
        <w:pStyle w:val="Heading2"/>
        <w:rPr/>
      </w:pPr>
      <w:bookmarkStart w:id="18" w:name="hazards-hazard-ratios-1"/>
      <w:bookmarkEnd w:id="18"/>
      <w:r>
        <w:rPr/>
        <w:t>Hazards &amp; Hazard Ratios</w:t>
      </w:r>
    </w:p>
    <w:p>
      <w:pPr>
        <w:pStyle w:val="Compact"/>
        <w:numPr>
          <w:ilvl w:val="0"/>
          <w:numId w:val="239"/>
        </w:numPr>
        <w:rPr/>
      </w:pPr>
      <w:r>
        <w:rPr/>
        <w:t xml:space="preserve">Hazard is simply risk </w:t>
      </w:r>
      <w:r>
        <w:rPr>
          <w:b/>
          <w:bCs/>
        </w:rPr>
        <w:t>within some time frame</w:t>
      </w:r>
    </w:p>
    <w:p>
      <w:pPr>
        <w:pStyle w:val="Compact"/>
        <w:numPr>
          <w:ilvl w:val="1"/>
          <w:numId w:val="240"/>
        </w:numPr>
        <w:rPr/>
      </w:pPr>
      <w:r>
        <w:rPr/>
        <w:t>“</w:t>
      </w:r>
      <w:r>
        <w:rPr/>
        <w:t xml:space="preserve">What are the risks of relapse </w:t>
      </w:r>
      <w:r>
        <w:rPr>
          <w:b/>
          <w:bCs/>
        </w:rPr>
        <w:t>within one year</w:t>
      </w:r>
      <w:r>
        <w:rPr/>
        <w:t>?”</w:t>
      </w:r>
    </w:p>
    <w:p>
      <w:pPr>
        <w:pStyle w:val="Compact"/>
        <w:numPr>
          <w:ilvl w:val="0"/>
          <w:numId w:val="241"/>
        </w:numPr>
        <w:rPr/>
      </w:pPr>
      <w:r>
        <w:rPr/>
        <w:t>Hazard ratio is the hazard in one group relative to an other</w:t>
      </w:r>
    </w:p>
    <w:p>
      <w:pPr>
        <w:pStyle w:val="Compact"/>
        <w:numPr>
          <w:ilvl w:val="1"/>
          <w:numId w:val="242"/>
        </w:numPr>
        <w:rPr/>
      </w:pPr>
      <w:r>
        <w:rPr/>
        <w:t>“</w:t>
      </w:r>
      <w:r>
        <w:rPr/>
        <w:t xml:space="preserve">What are the risks of Latino patients relapsing within one year </w:t>
      </w:r>
      <w:r>
        <w:rPr>
          <w:b/>
          <w:bCs/>
        </w:rPr>
        <w:t>compared to non-Latino patients</w:t>
      </w:r>
      <w:r>
        <w:rPr/>
        <w:t>?”</w:t>
      </w:r>
    </w:p>
    <w:p>
      <w:pPr>
        <w:pStyle w:val="FirstParagraph"/>
        <w:rPr/>
      </w:pPr>
      <w:r>
        <w:rPr/>
      </w:r>
      <w:bookmarkStart w:id="19" w:name="hazards-hazard-ratios-1_Copy_1"/>
      <w:bookmarkStart w:id="20" w:name="hazards-hazard-ratios-1_Copy_1"/>
      <w:bookmarkEnd w:id="20"/>
    </w:p>
    <w:p>
      <w:pPr>
        <w:pStyle w:val="Heading2"/>
        <w:rPr/>
      </w:pPr>
      <w:bookmarkStart w:id="21" w:name="presentation-of-hazards"/>
      <w:r>
        <w:rPr/>
        <w:t>Presentation of Hazards</w:t>
      </w:r>
    </w:p>
    <w:p>
      <w:pPr>
        <w:pStyle w:val="Compact"/>
        <w:numPr>
          <w:ilvl w:val="0"/>
          <w:numId w:val="243"/>
        </w:numPr>
        <w:rPr/>
      </w:pPr>
      <w:r>
        <w:rPr/>
        <w:t>Since events in a time frame may not be uniform,</w:t>
      </w:r>
    </w:p>
    <w:p>
      <w:pPr>
        <w:pStyle w:val="Compact"/>
        <w:numPr>
          <w:ilvl w:val="1"/>
          <w:numId w:val="244"/>
        </w:numPr>
        <w:rPr/>
      </w:pPr>
      <w:r>
        <w:rPr/>
        <w:t>Hazards / hazard ratios are often accompanied by “Kaplan-Meier curves” depicting events over time</w:t>
      </w:r>
    </w:p>
    <w:p>
      <w:pPr>
        <w:pStyle w:val="FirstParagraph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4462780"/>
            <wp:effectExtent l="0" t="0" r="0" b="0"/>
            <wp:wrapSquare wrapText="largest"/>
            <wp:docPr id="1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/>
      </w:pPr>
      <w:r>
        <w:rPr/>
        <w:t>Probability of continued opioid use for ≤ 365 days for patients with childbirth, surgery, trauma, or other pain diagnosis in the week before their first opioid prescription or chronic pain diagnosis in the 6 months before their first opioid prescription.Abbreviation: CNCP, chronic non-cancer pain Shah, Hayes, &amp; Martin (</w:t>
      </w:r>
      <w:hyperlink r:id="rId13">
        <w:r>
          <w:rPr>
            <w:rStyle w:val="Hyperlink"/>
          </w:rPr>
          <w:t>2017</w:t>
        </w:r>
      </w:hyperlink>
      <w:r>
        <w:rPr/>
        <w:t>)</w:t>
      </w:r>
      <w:bookmarkEnd w:id="21"/>
    </w:p>
    <w:p>
      <w:pPr>
        <w:pStyle w:val="Heading2"/>
        <w:rPr/>
      </w:pPr>
      <w:r>
        <w:rPr/>
        <w:t>Analyzing Hazards</w:t>
      </w:r>
    </w:p>
    <w:p>
      <w:pPr>
        <w:pStyle w:val="Compact"/>
        <w:numPr>
          <w:ilvl w:val="0"/>
          <w:numId w:val="245"/>
        </w:numPr>
        <w:rPr/>
      </w:pPr>
      <w:r>
        <w:rPr>
          <w:b/>
          <w:bCs/>
        </w:rPr>
        <w:t>Cox proportional hazards regression</w:t>
      </w:r>
    </w:p>
    <w:p>
      <w:pPr>
        <w:pStyle w:val="Compact"/>
        <w:numPr>
          <w:ilvl w:val="1"/>
          <w:numId w:val="246"/>
        </w:numPr>
        <w:rPr/>
      </w:pPr>
      <w:r>
        <w:rPr/>
        <w:t>Tests if variables can significantly predict hazard (time-to-event)</w:t>
      </w:r>
    </w:p>
    <w:p>
      <w:pPr>
        <w:pStyle w:val="Compact"/>
        <w:numPr>
          <w:ilvl w:val="1"/>
          <w:numId w:val="247"/>
        </w:numPr>
        <w:rPr/>
      </w:pPr>
      <w:r>
        <w:rPr/>
        <w:t>Handles “censoring” well</w:t>
      </w:r>
    </w:p>
    <w:p>
      <w:pPr>
        <w:pStyle w:val="Compact"/>
        <w:numPr>
          <w:ilvl w:val="2"/>
          <w:numId w:val="248"/>
        </w:numPr>
        <w:rPr/>
      </w:pPr>
      <w:r>
        <w:rPr/>
        <w:t>When we don’t know how long it was to an event because, e.g., the event didn’t happen during the study</w:t>
      </w:r>
    </w:p>
    <w:p>
      <w:pPr>
        <w:pStyle w:val="Compact"/>
        <w:numPr>
          <w:ilvl w:val="3"/>
          <w:numId w:val="249"/>
        </w:numPr>
        <w:rPr/>
      </w:pPr>
      <w:r>
        <w:rPr/>
        <w:t>(E.g., the patient survived until at least the end of the study window)</w:t>
      </w:r>
    </w:p>
    <w:p>
      <w:pPr>
        <w:pStyle w:val="Compact"/>
        <w:numPr>
          <w:ilvl w:val="1"/>
          <w:numId w:val="250"/>
        </w:numPr>
        <w:rPr/>
      </w:pPr>
      <w:r>
        <w:rPr/>
        <w:t>Assumes that the effect of each predictor on the outcome is consistent throughout the study</w:t>
      </w:r>
    </w:p>
    <w:p>
      <w:pPr>
        <w:pStyle w:val="Compact"/>
        <w:numPr>
          <w:ilvl w:val="2"/>
          <w:numId w:val="251"/>
        </w:numPr>
        <w:rPr/>
      </w:pPr>
      <w:bookmarkStart w:id="22" w:name="analyzing-hazards"/>
      <w:r>
        <w:rPr/>
        <w:t>E.g., there is no seasonal effect</w:t>
      </w:r>
      <w:bookmarkEnd w:id="22"/>
    </w:p>
    <w:p>
      <w:pPr>
        <w:pStyle w:val="Heading2"/>
        <w:rPr/>
      </w:pPr>
      <w:bookmarkStart w:id="23" w:name="example-of-cox-regression"/>
      <w:r>
        <w:rPr/>
        <w:t>Example of Cox Regression</w:t>
      </w:r>
    </w:p>
    <w:p>
      <w:pPr>
        <w:pStyle w:val="Compact"/>
        <w:numPr>
          <w:ilvl w:val="0"/>
          <w:numId w:val="252"/>
        </w:numPr>
        <w:rPr/>
      </w:pPr>
      <w:r>
        <w:rPr/>
        <w:t>Brahmania et al. (</w:t>
      </w:r>
      <w:hyperlink r:id="rId14">
        <w:r>
          <w:rPr>
            <w:rStyle w:val="Hyperlink"/>
          </w:rPr>
          <w:t>2025</w:t>
        </w:r>
      </w:hyperlink>
      <w:r>
        <w:rPr/>
        <w:t>)</w:t>
      </w:r>
    </w:p>
    <w:p>
      <w:pPr>
        <w:pStyle w:val="Compact"/>
        <w:numPr>
          <w:ilvl w:val="1"/>
          <w:numId w:val="253"/>
        </w:numPr>
        <w:rPr/>
      </w:pPr>
      <w:r>
        <w:rPr/>
        <w:t>Investigated the effects of a dedicated, automated recall hepatocellular carcinoma (HCC) surveillance program on retention</w:t>
      </w:r>
    </w:p>
    <w:p>
      <w:pPr>
        <w:pStyle w:val="Compact"/>
        <w:numPr>
          <w:ilvl w:val="2"/>
          <w:numId w:val="254"/>
        </w:numPr>
        <w:rPr/>
      </w:pPr>
      <w:r>
        <w:rPr/>
        <w:t>Among 7,269 Canadian patients with a confirmed diagnosis of cirrhosis of any aetiology</w:t>
      </w:r>
    </w:p>
    <w:p>
      <w:pPr>
        <w:pStyle w:val="Compact"/>
        <w:numPr>
          <w:ilvl w:val="2"/>
          <w:numId w:val="255"/>
        </w:numPr>
        <w:rPr/>
      </w:pPr>
      <w:r>
        <w:rPr/>
        <w:t>Who were automatically enrolled in a surveillance program</w:t>
      </w:r>
    </w:p>
    <w:p>
      <w:pPr>
        <w:pStyle w:val="Compact"/>
        <w:numPr>
          <w:ilvl w:val="1"/>
          <w:numId w:val="256"/>
        </w:numPr>
        <w:rPr/>
      </w:pPr>
      <w:r>
        <w:rPr/>
        <w:t>Predictors of retention (returning for screenings):</w:t>
      </w:r>
    </w:p>
    <w:p>
      <w:pPr>
        <w:pStyle w:val="Compact"/>
        <w:numPr>
          <w:ilvl w:val="2"/>
          <w:numId w:val="257"/>
        </w:numPr>
        <w:rPr/>
      </w:pPr>
      <w:r>
        <w:rPr/>
        <w:t xml:space="preserve">Patients who identified as Asian were </w:t>
      </w:r>
      <w:r>
        <w:rPr>
          <w:i/>
          <w:iCs/>
        </w:rPr>
        <w:t>most</w:t>
      </w:r>
      <w:r>
        <w:rPr/>
        <w:t xml:space="preserve"> likely to return for semi-annual screenings (of races)</w:t>
      </w:r>
    </w:p>
    <w:p>
      <w:pPr>
        <w:pStyle w:val="Compact"/>
        <w:numPr>
          <w:ilvl w:val="2"/>
          <w:numId w:val="258"/>
        </w:numPr>
        <w:rPr/>
      </w:pPr>
      <w:r>
        <w:rPr/>
        <w:t xml:space="preserve">Patients diagnosed with Hepatitis B, autoimmune, or alcohol-induced cirrhosis </w:t>
      </w:r>
      <w:r>
        <w:rPr>
          <w:i/>
          <w:iCs/>
        </w:rPr>
        <w:t>least</w:t>
      </w:r>
      <w:r>
        <w:rPr/>
        <w:t xml:space="preserve"> likely (of aetiologies)</w:t>
      </w:r>
      <w:bookmarkEnd w:id="23"/>
    </w:p>
    <w:p>
      <w:pPr>
        <w:pStyle w:val="Heading2"/>
        <w:rPr/>
      </w:pPr>
      <w:r>
        <w:rPr/>
        <w:t>Example of Cox Regression (cont.)</w:t>
      </w:r>
    </w:p>
    <w:p>
      <w:pPr>
        <w:pStyle w:val="FirstParagraph"/>
        <w:rPr/>
      </w:pPr>
      <w:bookmarkStart w:id="24" w:name="example-of-cox-regression-cont."/>
      <w:r>
        <w:rPr/>
        <w:drawing>
          <wp:inline distT="0" distB="0" distL="0" distR="0">
            <wp:extent cx="5334000" cy="3741420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4"/>
    </w:p>
    <w:p>
      <w:pPr>
        <w:pStyle w:val="Heading2"/>
        <w:rPr/>
      </w:pPr>
      <w:r>
        <w:rPr/>
        <w:t>Example of Cox Regression (cont.)</w:t>
      </w:r>
    </w:p>
    <w:p>
      <w:pPr>
        <w:pStyle w:val="FirstParagraph"/>
        <w:rPr/>
      </w:pPr>
      <w:bookmarkStart w:id="25" w:name="example-of-cox-regression-cont.-1"/>
      <w:r>
        <w:rPr/>
        <w:drawing>
          <wp:inline distT="0" distB="0" distL="0" distR="0">
            <wp:extent cx="5334000" cy="3748405"/>
            <wp:effectExtent l="0" t="0" r="0" b="0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5"/>
    </w:p>
    <w:p>
      <w:pPr>
        <w:pStyle w:val="Heading2"/>
        <w:rPr/>
      </w:pPr>
      <w:r>
        <w:rPr/>
        <w:t>Example of Cox Regression (end)</w:t>
      </w:r>
    </w:p>
    <w:p>
      <w:pPr>
        <w:pStyle w:val="FirstParagraph"/>
        <w:rPr/>
      </w:pPr>
      <w:bookmarkStart w:id="26" w:name="hazards-hazard-ratios"/>
      <w:bookmarkStart w:id="27" w:name="example-of-cox-regression-end"/>
      <w:r>
        <w:rPr/>
        <w:drawing>
          <wp:inline distT="0" distB="0" distL="0" distR="0">
            <wp:extent cx="5334000" cy="2957195"/>
            <wp:effectExtent l="0" t="0" r="0" b="0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  <w:bookmarkEnd w:id="27"/>
    </w:p>
    <w:p>
      <w:pPr>
        <w:pStyle w:val="Heading1"/>
        <w:rPr/>
      </w:pPr>
      <w:bookmarkStart w:id="28" w:name="odds-odds-ratios"/>
      <w:r>
        <w:rPr/>
        <w:t>Odds &amp;Odds Ratios</w:t>
      </w:r>
    </w:p>
    <w:p>
      <w:pPr>
        <w:pStyle w:val="Heading2"/>
        <w:rPr/>
      </w:pPr>
      <w:bookmarkStart w:id="29" w:name="risks-vs.-odds"/>
      <w:r>
        <w:rPr/>
        <w:t>Risks vs. Odds</w:t>
      </w:r>
    </w:p>
    <w:p>
      <w:pPr>
        <w:pStyle w:val="Compact"/>
        <w:numPr>
          <w:ilvl w:val="0"/>
          <w:numId w:val="259"/>
        </w:numPr>
        <w:rPr/>
      </w:pPr>
      <w:r>
        <w:rPr>
          <w:b/>
          <w:bCs/>
        </w:rPr>
        <w:t>Probability</w:t>
      </w:r>
      <w:r>
        <w:rPr/>
        <w:t xml:space="preserve"> is the chance of something happening </w:t>
      </w:r>
      <w:r>
        <w:rPr>
          <w:b/>
          <w:bCs/>
        </w:rPr>
        <w:t>out of all possible occasions</w:t>
      </w:r>
    </w:p>
    <w:p>
      <w:pPr>
        <w:pStyle w:val="Compact"/>
        <w:numPr>
          <w:ilvl w:val="1"/>
          <w:numId w:val="260"/>
        </w:numPr>
        <w:rPr/>
      </w:pPr>
      <w:r>
        <w:rPr/>
        <w:t>E.g., of the 200 Latino patients with OUDs, 72 were diagnosed with pain disorders</w:t>
      </w:r>
    </w:p>
    <w:p>
      <w:pPr>
        <w:pStyle w:val="FirstParagraph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P</m:t>
          </m:r>
          <m:r>
            <w:rPr>
              <w:rFonts w:ascii="Cambria Math" w:hAnsi="Cambria Math"/>
            </w:rPr>
            <m:t xml:space="preserve">(</m:t>
          </m:r>
          <m:r>
            <w:rPr>
              <w:rFonts w:ascii="Cambria Math" w:hAnsi="Cambria Math"/>
            </w:rPr>
            <m:t xml:space="preserve">B</m:t>
          </m:r>
          <m:r>
            <w:rPr>
              <w:rFonts w:ascii="Cambria Math" w:hAnsi="Cambria Math"/>
            </w:rPr>
            <m:t xml:space="preserve">e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n</m:t>
          </m:r>
          <m:r>
            <w:rPr>
              <w:rFonts w:ascii="Cambria Math" w:hAnsi="Cambria Math"/>
            </w:rPr>
            <m:t xml:space="preserve">g</m:t>
          </m:r>
          <m:r>
            <w:rPr>
              <w:rFonts w:ascii="Cambria Math" w:hAnsi="Cambria Math"/>
            </w:rPr>
            <m:t xml:space="preserve">D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g</m:t>
          </m:r>
          <m:r>
            <w:rPr>
              <w:rFonts w:ascii="Cambria Math" w:hAnsi="Cambria Math"/>
            </w:rPr>
            <m:t xml:space="preserve">n</m:t>
          </m:r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s</m:t>
          </m:r>
          <m:r>
            <w:rPr>
              <w:rFonts w:ascii="Cambria Math" w:hAnsi="Cambria Math"/>
            </w:rPr>
            <m:t xml:space="preserve">e</m:t>
          </m:r>
          <m:r>
            <w:rPr>
              <w:rFonts w:ascii="Cambria Math" w:hAnsi="Cambria Math"/>
            </w:rPr>
            <m:t xml:space="preserve">d</m:t>
          </m:r>
          <m:bar>
            <m:barPr>
              <m:pos m:val="top"/>
            </m:barPr>
            <m:e>
              <m:r>
                <w:rPr>
                  <w:rFonts w:ascii="Cambria Math" w:hAnsi="Cambria Math"/>
                </w:rPr>
                <m:t xml:space="preserve">c</m:t>
              </m:r>
            </m:e>
          </m:bar>
          <m:r>
            <w:rPr>
              <w:rFonts w:ascii="Cambria Math" w:hAnsi="Cambria Math"/>
            </w:rPr>
            <m:t xml:space="preserve">P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n</m:t>
          </m:r>
          <m:r>
            <w:rPr>
              <w:rFonts w:ascii="Cambria Math" w:hAnsi="Cambria Math"/>
            </w:rPr>
            <m:t xml:space="preserve">D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s</m:t>
          </m:r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d</m:t>
          </m:r>
          <m:r>
            <w:rPr>
              <w:rFonts w:ascii="Cambria Math" w:hAnsi="Cambria Math"/>
            </w:rPr>
            <m:t xml:space="preserve">e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)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72</m:t>
              </m:r>
            </m:num>
            <m:den>
              <m:r>
                <w:rPr>
                  <w:rFonts w:ascii="Cambria Math" w:hAnsi="Cambria Math"/>
                </w:rPr>
                <m:t xml:space="preserve">72</m:t>
              </m:r>
              <m:r>
                <w:rPr>
                  <w:rFonts w:ascii="Cambria Math" w:hAnsi="Cambria Math"/>
                </w:rPr>
                <m:t xml:space="preserve">+</m:t>
              </m:r>
              <m:r>
                <w:rPr>
                  <w:rFonts w:ascii="Cambria Math" w:hAnsi="Cambria Math"/>
                </w:rPr>
                <m:t xml:space="preserve">128</m:t>
              </m:r>
            </m:den>
          </m:f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72</m:t>
              </m:r>
            </m:num>
            <m:den>
              <m:r>
                <w:rPr>
                  <w:rFonts w:ascii="Cambria Math" w:hAnsi="Cambria Math"/>
                </w:rPr>
                <m:t xml:space="preserve">200</m:t>
              </m:r>
            </m:den>
          </m:f>
        </m:oMath>
      </m:oMathPara>
    </w:p>
    <w:p>
      <w:pPr>
        <w:pStyle w:val="Compact"/>
        <w:numPr>
          <w:ilvl w:val="0"/>
          <w:numId w:val="261"/>
        </w:numPr>
        <w:rPr/>
      </w:pPr>
      <w:r>
        <w:rPr/>
        <w:t xml:space="preserve">I.e.,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72</m:t>
            </m:r>
          </m:num>
          <m:den>
            <m:r>
              <w:rPr>
                <w:rFonts w:ascii="Cambria Math" w:hAnsi="Cambria Math"/>
              </w:rPr>
              <m:t xml:space="preserve">200</m:t>
            </m:r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.36</m:t>
        </m:r>
        <m:r>
          <w:rPr>
            <w:rFonts w:ascii="Cambria Math" w:hAnsi="Cambria Math"/>
          </w:rPr>
          <m:t xml:space="preserve">≈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3</m:t>
            </m:r>
          </m:den>
        </m:f>
      </m:oMath>
      <w:r>
        <w:rPr/>
        <w:t xml:space="preserve"> of </w:t>
      </w:r>
      <w:r>
        <w:rPr>
          <w:i/>
          <w:iCs/>
        </w:rPr>
        <w:t>all</w:t>
      </w:r>
      <w:r>
        <w:rPr/>
        <w:t xml:space="preserve"> Latino patients with OUDs were diagnosed with a pain disorder</w:t>
      </w:r>
    </w:p>
    <w:p>
      <w:pPr>
        <w:pStyle w:val="FirstParagraph"/>
        <w:rPr/>
      </w:pPr>
      <w:r>
        <w:rPr/>
        <w:t>“</w:t>
      </w:r>
      <w:r>
        <w:rPr/>
        <w:t>36% of these Latino patients with OUDs were diagnosed with a pain disorder.”</w:t>
      </w:r>
      <w:bookmarkEnd w:id="29"/>
    </w:p>
    <w:p>
      <w:pPr>
        <w:pStyle w:val="Heading2"/>
        <w:rPr/>
      </w:pPr>
      <w:r>
        <w:rPr/>
        <w:t>Risks vs. Odds (cont.)</w:t>
      </w:r>
    </w:p>
    <w:p>
      <w:pPr>
        <w:pStyle w:val="Compact"/>
        <w:numPr>
          <w:ilvl w:val="0"/>
          <w:numId w:val="262"/>
        </w:numPr>
        <w:rPr/>
      </w:pPr>
      <w:r>
        <w:rPr>
          <w:b/>
          <w:bCs/>
        </w:rPr>
        <w:t>Odds</w:t>
      </w:r>
      <w:r>
        <w:rPr/>
        <w:t xml:space="preserve"> are the chance of something happening </w:t>
      </w:r>
      <w:hyperlink r:id="rId18">
        <w:r>
          <w:rPr>
            <w:rStyle w:val="Hyperlink"/>
            <w:b/>
            <w:bCs/>
          </w:rPr>
          <w:t>relative to them not happening</w:t>
        </w:r>
      </w:hyperlink>
    </w:p>
    <w:p>
      <w:pPr>
        <w:pStyle w:val="Compact"/>
        <w:numPr>
          <w:ilvl w:val="1"/>
          <w:numId w:val="263"/>
        </w:numPr>
        <w:rPr/>
      </w:pPr>
      <w:r>
        <w:rPr/>
        <w:t>E.g., 72 Latino patients were diagnosed with pain disorders</w:t>
      </w:r>
    </w:p>
    <w:p>
      <w:pPr>
        <w:pStyle w:val="Compact"/>
        <w:numPr>
          <w:ilvl w:val="1"/>
          <w:numId w:val="264"/>
        </w:numPr>
        <w:rPr/>
      </w:pPr>
      <w:r>
        <w:rPr/>
        <w:t>128 Latino patients were not so diagnosed</w:t>
      </w:r>
    </w:p>
    <w:p>
      <w:pPr>
        <w:pStyle w:val="FirstParagraph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d</m:t>
          </m:r>
          <m:r>
            <w:rPr>
              <w:rFonts w:ascii="Cambria Math" w:hAnsi="Cambria Math"/>
            </w:rPr>
            <m:t xml:space="preserve">d</m:t>
          </m:r>
          <m:r>
            <w:rPr>
              <w:rFonts w:ascii="Cambria Math" w:hAnsi="Cambria Math"/>
            </w:rPr>
            <m:t xml:space="preserve">s</m:t>
          </m:r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f</m:t>
          </m:r>
          <m:r>
            <w:rPr>
              <w:rFonts w:ascii="Cambria Math" w:hAnsi="Cambria Math"/>
            </w:rPr>
            <m:t xml:space="preserve">B</m:t>
          </m:r>
          <m:r>
            <w:rPr>
              <w:rFonts w:ascii="Cambria Math" w:hAnsi="Cambria Math"/>
            </w:rPr>
            <m:t xml:space="preserve">e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n</m:t>
          </m:r>
          <m:r>
            <w:rPr>
              <w:rFonts w:ascii="Cambria Math" w:hAnsi="Cambria Math"/>
            </w:rPr>
            <m:t xml:space="preserve">g</m:t>
          </m:r>
          <m:r>
            <w:rPr>
              <w:rFonts w:ascii="Cambria Math" w:hAnsi="Cambria Math"/>
            </w:rPr>
            <m:t xml:space="preserve">D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g</m:t>
          </m:r>
          <m:r>
            <w:rPr>
              <w:rFonts w:ascii="Cambria Math" w:hAnsi="Cambria Math"/>
            </w:rPr>
            <m:t xml:space="preserve">n</m:t>
          </m:r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s</m:t>
          </m:r>
          <m:r>
            <w:rPr>
              <w:rFonts w:ascii="Cambria Math" w:hAnsi="Cambria Math"/>
            </w:rPr>
            <m:t xml:space="preserve">e</m:t>
          </m:r>
          <m:r>
            <w:rPr>
              <w:rFonts w:ascii="Cambria Math" w:hAnsi="Cambria Math"/>
            </w:rPr>
            <m:t xml:space="preserve">d</m:t>
          </m:r>
          <m:bar>
            <m:barPr>
              <m:pos m:val="top"/>
            </m:barPr>
            <m:e>
              <m:r>
                <w:rPr>
                  <w:rFonts w:ascii="Cambria Math" w:hAnsi="Cambria Math"/>
                </w:rPr>
                <m:t xml:space="preserve">c</m:t>
              </m:r>
            </m:e>
          </m:bar>
          <m:r>
            <w:rPr>
              <w:rFonts w:ascii="Cambria Math" w:hAnsi="Cambria Math"/>
            </w:rPr>
            <m:t xml:space="preserve">P</m:t>
          </m:r>
          <m:r>
            <w:rPr>
              <w:rFonts w:ascii="Cambria Math" w:hAnsi="Cambria Math"/>
            </w:rPr>
            <m:t xml:space="preserve">a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n</m:t>
          </m:r>
          <m:r>
            <w:rPr>
              <w:rFonts w:ascii="Cambria Math" w:hAnsi="Cambria Math"/>
            </w:rPr>
            <m:t xml:space="preserve">D</m:t>
          </m:r>
          <m:r>
            <w:rPr>
              <w:rFonts w:ascii="Cambria Math" w:hAnsi="Cambria Math"/>
            </w:rPr>
            <m:t xml:space="preserve">i</m:t>
          </m:r>
          <m:r>
            <w:rPr>
              <w:rFonts w:ascii="Cambria Math" w:hAnsi="Cambria Math"/>
            </w:rPr>
            <m:t xml:space="preserve">s</m:t>
          </m:r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d</m:t>
          </m:r>
          <m:r>
            <w:rPr>
              <w:rFonts w:ascii="Cambria Math" w:hAnsi="Cambria Math"/>
            </w:rPr>
            <m:t xml:space="preserve">e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72</m:t>
              </m:r>
            </m:num>
            <m:den>
              <m:r>
                <w:rPr>
                  <w:rFonts w:ascii="Cambria Math" w:hAnsi="Cambria Math"/>
                </w:rPr>
                <m:t xml:space="preserve">128</m:t>
              </m:r>
            </m:den>
          </m:f>
          <m:r>
            <w:rPr>
              <w:rFonts w:ascii="Cambria Math" w:hAnsi="Cambria Math"/>
            </w:rPr>
            <m:t xml:space="preserve">≈</m:t>
          </m:r>
          <m:r>
            <w:rPr>
              <w:rFonts w:ascii="Cambria Math" w:hAnsi="Cambria Math"/>
            </w:rPr>
            <m:t xml:space="preserve">.56</m:t>
          </m:r>
        </m:oMath>
      </m:oMathPara>
    </w:p>
    <w:p>
      <w:pPr>
        <w:pStyle w:val="FirstParagraph"/>
        <w:rPr/>
      </w:pPr>
      <w:r>
        <w:rPr/>
        <w:t>“</w:t>
      </w:r>
      <w:r>
        <w:rPr/>
        <w:t>Among these Latino patients with OUDs,</w:t>
      </w:r>
    </w:p>
    <w:p>
      <w:pPr>
        <w:pStyle w:val="BodyText"/>
        <w:rPr/>
      </w:pPr>
      <w:r>
        <w:rPr/>
        <w:t>For every 1 diagnosed with a pain disorder,</w:t>
      </w:r>
    </w:p>
    <w:p>
      <w:pPr>
        <w:pStyle w:val="BodyText"/>
        <w:rPr/>
      </w:pPr>
      <w:bookmarkStart w:id="30" w:name="risks-vs.-odds-cont."/>
      <w:r>
        <w:rPr/>
        <w:t>There were about 2 who were not (odds = 0.56).”</w:t>
      </w:r>
      <w:bookmarkEnd w:id="30"/>
    </w:p>
    <w:p>
      <w:pPr>
        <w:pStyle w:val="Heading2"/>
        <w:rPr/>
      </w:pPr>
      <w:bookmarkStart w:id="31" w:name="examples-of-odds"/>
      <w:r>
        <w:rPr/>
        <w:t>Examples of Odds</w:t>
      </w:r>
    </w:p>
    <w:tbl>
      <w:tblPr>
        <w:tblStyle w:val="Table"/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20" w:noHBand="0" w:noVBand="0" w:firstColumn="0" w:lastRow="0" w:lastColumn="0" w:firstRow="1"/>
      </w:tblPr>
      <w:tblGrid>
        <w:gridCol w:w="6381"/>
        <w:gridCol w:w="2978"/>
      </w:tblGrid>
      <w:tr>
        <w:trPr>
          <w:tblHeader w:val="true"/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b/>
                <w:kern w:val="0"/>
                <w:sz w:val="20"/>
                <w:szCs w:val="24"/>
                <w:lang w:val="en-US" w:eastAsia="zh-CN" w:bidi="ar-SA"/>
              </w:rPr>
              <w:t>Event Happening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b/>
                <w:kern w:val="0"/>
                <w:sz w:val="20"/>
                <w:szCs w:val="24"/>
                <w:lang w:val="en-US" w:eastAsia="zh-CN" w:bidi="ar-SA"/>
              </w:rPr>
              <w:t>Odds Versus the Event Not Happening</w:t>
            </w:r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Dying in a plane crash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1 : 11,000,000</w:t>
            </w:r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Dying in a shark attack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1 : 7,000,000</w:t>
            </w:r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Being killed by a meteorite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19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250,000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Dying in a hurricane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20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62,288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Dying in a motorcycle accident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21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722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Dying by heart disease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22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6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Being saved by CPR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23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1.44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Being an adult with hearing issues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1 : 6.14</w:t>
            </w:r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Being an elderly adult with hearing issues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24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1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Earn any degree within 6 years of enrolling in a 4-year for-profit college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25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1.68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Earn any degree within 6 years of enrolling in a 4-year public college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26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0.52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Having an application accepted by Harvard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27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30.25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Identifying as LGBTQ+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28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16.86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Being audited by the IRS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29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220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Giving birth on the actual due date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30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249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Getting your car stolen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31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332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Being matched as a bone marrow donor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32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430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Loosing your home to fire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33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3,000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Finding a four-leaf clover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1 : 10,000</w:t>
            </w:r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Being involved in a mass shooting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hyperlink r:id="rId34">
              <w:r>
                <w:rPr>
                  <w:rStyle w:val="Hyperlink"/>
                  <w:rFonts w:eastAsia="" w:cs=""/>
                  <w:kern w:val="0"/>
                  <w:sz w:val="24"/>
                  <w:szCs w:val="24"/>
                  <w:lang w:val="en-US" w:eastAsia="zh-CN" w:bidi="ar-SA"/>
                </w:rPr>
                <w:t>1 : 11,125</w:t>
              </w:r>
            </w:hyperlink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Getting struck by lightning within an 80-year life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1 : 15,300</w:t>
            </w:r>
          </w:p>
        </w:tc>
      </w:tr>
      <w:tr>
        <w:trPr>
          <w:cantSplit w:val="true"/>
        </w:trPr>
        <w:tc>
          <w:tcPr>
            <w:tcW w:w="638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Winning an Olympic medal</w:t>
            </w:r>
          </w:p>
        </w:tc>
        <w:tc>
          <w:tcPr>
            <w:tcW w:w="29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Compact"/>
              <w:widowControl/>
              <w:suppressAutoHyphens w:val="true"/>
              <w:spacing w:before="0" w:after="0"/>
              <w:jc w:val="left"/>
              <w:rPr>
                <w:rFonts w:ascii="Aptos" w:hAnsi="Aptos" w:eastAsia="" w:cs="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Source Sans Pro" w:cs="" w:ascii="Source Sans Pro" w:hAnsi="Source Sans Pro"/>
                <w:kern w:val="0"/>
                <w:sz w:val="20"/>
                <w:szCs w:val="24"/>
                <w:lang w:val="en-US" w:eastAsia="zh-CN" w:bidi="ar-SA"/>
              </w:rPr>
              <w:t>1 : 622,999</w:t>
            </w:r>
          </w:p>
        </w:tc>
      </w:tr>
    </w:tbl>
    <w:p>
      <w:pPr>
        <w:pStyle w:val="BodyText"/>
        <w:rPr/>
      </w:pPr>
      <w:r>
        <w:rPr/>
        <w:t xml:space="preserve">From </w:t>
      </w:r>
      <w:hyperlink r:id="rId35">
        <w:r>
          <w:rPr>
            <w:rStyle w:val="Hyperlink"/>
          </w:rPr>
          <w:t>Stacker</w:t>
        </w:r>
      </w:hyperlink>
      <w:bookmarkEnd w:id="31"/>
    </w:p>
    <w:p>
      <w:pPr>
        <w:pStyle w:val="Heading2"/>
        <w:rPr/>
      </w:pPr>
      <w:r>
        <w:rPr/>
        <w:t>Odds Ratios</w:t>
      </w:r>
    </w:p>
    <w:p>
      <w:pPr>
        <w:pStyle w:val="Compact"/>
        <w:numPr>
          <w:ilvl w:val="0"/>
          <w:numId w:val="265"/>
        </w:numPr>
        <w:rPr/>
      </w:pPr>
      <w:r>
        <w:rPr/>
        <w:t>Odds ratios (</w:t>
      </w:r>
      <w:r>
        <w:rPr>
          <w:b/>
          <w:bCs/>
        </w:rPr>
        <w:t>OR</w:t>
      </w:r>
      <w:r>
        <w:rPr/>
        <w:t>) represent the odds of an event in one group proportional to the odds in an other</w:t>
      </w:r>
    </w:p>
    <w:p>
      <w:pPr>
        <w:pStyle w:val="Compact"/>
        <w:numPr>
          <w:ilvl w:val="1"/>
          <w:numId w:val="266"/>
        </w:numPr>
        <w:rPr/>
      </w:pPr>
      <w:r>
        <w:rPr/>
        <w:t>E.g., OR = .5 means the odds in the target group are half the odds in the reference group</w:t>
      </w:r>
    </w:p>
    <w:p>
      <w:pPr>
        <w:pStyle w:val="Compact"/>
        <w:numPr>
          <w:ilvl w:val="2"/>
          <w:numId w:val="267"/>
        </w:numPr>
        <w:rPr/>
      </w:pPr>
      <w:r>
        <w:rPr/>
        <w:t>E.g., the odds in the target group are 2:1</w:t>
      </w:r>
    </w:p>
    <w:p>
      <w:pPr>
        <w:pStyle w:val="Compact"/>
        <w:numPr>
          <w:ilvl w:val="3"/>
          <w:numId w:val="268"/>
        </w:numPr>
        <w:rPr/>
      </w:pPr>
      <w:r>
        <w:rPr/>
        <w:t>While the odds in the reference group are 4:1</w:t>
      </w:r>
    </w:p>
    <w:p>
      <w:pPr>
        <w:pStyle w:val="Compact"/>
        <w:numPr>
          <w:ilvl w:val="0"/>
          <w:numId w:val="269"/>
        </w:numPr>
        <w:rPr/>
      </w:pPr>
      <w:bookmarkStart w:id="32" w:name="odds-ratios"/>
      <w:r>
        <w:rPr/>
        <w:t>Turning back to the OUD study may help…</w:t>
      </w:r>
      <w:bookmarkEnd w:id="32"/>
    </w:p>
    <w:p>
      <w:pPr>
        <w:pStyle w:val="Heading2"/>
        <w:rPr/>
      </w:pPr>
      <w:bookmarkStart w:id="33" w:name="odds-ratios-example"/>
      <w:r>
        <w:rPr/>
        <w:t>Odds Ratios: Example</w:t>
      </w:r>
    </w:p>
    <w:tbl>
      <w:tblPr>
        <w:tblW w:w="93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120"/>
        <w:gridCol w:w="3120"/>
        <w:gridCol w:w="3120"/>
      </w:tblGrid>
      <w:tr>
        <w:trPr>
          <w:tblHeader w:val="true"/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Ethnicity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Diagnosed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Not Diagnosed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Latin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72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128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Non-Latin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223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241</w:t>
            </w:r>
          </w:p>
        </w:tc>
      </w:tr>
    </w:tbl>
    <w:p>
      <w:pPr>
        <w:pStyle w:val="BodyText"/>
        <w:rPr/>
      </w:pPr>
      <w:r>
        <w:rPr/>
        <w:t>Odds—</w:t>
      </w:r>
      <w:r>
        <w:rPr>
          <w:b/>
          <w:bCs/>
          <w:i/>
          <w:iCs/>
        </w:rPr>
        <w:t>not</w:t>
      </w:r>
      <w:r>
        <w:rPr/>
        <w:t xml:space="preserve"> odds ratios—for each group:</w:t>
      </w:r>
    </w:p>
    <w:p>
      <w:pPr>
        <w:pStyle w:val="Compact"/>
        <w:numPr>
          <w:ilvl w:val="0"/>
          <w:numId w:val="270"/>
        </w:numPr>
        <w:rPr/>
      </w:pPr>
      <w:r>
        <w:rPr/>
        <w:t xml:space="preserve">Odds of pain diagnosis among </w:t>
      </w:r>
      <w:r>
        <w:rPr>
          <w:b/>
          <w:bCs/>
        </w:rPr>
        <w:t>Latino</w:t>
      </w:r>
      <w:r>
        <w:rPr/>
        <w:t xml:space="preserve"> patients with OUDs: </w:t>
      </w:r>
      <w:r>
        <w:rPr/>
      </w:r>
      <m:oMath xmlns:m="http://schemas.openxmlformats.org/officeDocument/2006/math">
        <m:f>
          <m:num>
            <m:sSub>
              <m:e>
                <m:r>
                  <w:rPr>
                    <w:rFonts w:ascii="Cambria Math" w:hAnsi="Cambria Math"/>
                  </w:rPr>
                  <m:t xml:space="preserve">N</m:t>
                </m:r>
              </m:e>
              <m:sub>
                <m:r>
                  <w:rPr>
                    <w:rFonts w:ascii="Cambria Math" w:hAnsi="Cambria Math"/>
                  </w:rPr>
                  <m:t xml:space="preserve">L</m:t>
                </m:r>
                <m:r>
                  <w:rPr>
                    <w:rFonts w:ascii="Cambria Math" w:hAnsi="Cambria Math"/>
                  </w:rPr>
                  <m:t xml:space="preserve">a</m:t>
                </m:r>
                <m:r>
                  <w:rPr>
                    <w:rFonts w:ascii="Cambria Math" w:hAnsi="Cambria Math"/>
                  </w:rPr>
                  <m:t xml:space="preserve">t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o</m:t>
                </m:r>
                <m:r>
                  <w:rPr>
                    <w:rFonts w:ascii="Cambria Math" w:hAnsi="Cambria Math"/>
                  </w:rPr>
                  <m:t xml:space="preserve">s</m:t>
                </m:r>
                <m:bar>
                  <m:barPr>
                    <m:pos m:val="top"/>
                  </m:barPr>
                  <m:e>
                    <m:r>
                      <w:rPr>
                        <w:rFonts w:ascii="Cambria Math" w:hAnsi="Cambria Math"/>
                      </w:rPr>
                      <m:t xml:space="preserve">c</m:t>
                    </m:r>
                  </m:e>
                </m:bar>
                <m:r>
                  <w:rPr>
                    <w:rFonts w:ascii="Cambria Math" w:hAnsi="Cambria Math"/>
                  </w:rPr>
                  <m:t xml:space="preserve">P</m:t>
                </m:r>
                <m:r>
                  <w:rPr>
                    <w:rFonts w:ascii="Cambria Math" w:hAnsi="Cambria Math"/>
                  </w:rPr>
                  <m:t xml:space="preserve">a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D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s</m:t>
                </m:r>
                <m:r>
                  <w:rPr>
                    <w:rFonts w:ascii="Cambria Math" w:hAnsi="Cambria Math"/>
                  </w:rPr>
                  <m:t xml:space="preserve">o</m:t>
                </m:r>
                <m:r>
                  <w:rPr>
                    <w:rFonts w:ascii="Cambria Math" w:hAnsi="Cambria Math"/>
                  </w:rPr>
                  <m:t xml:space="preserve">r</m:t>
                </m:r>
                <m:r>
                  <w:rPr>
                    <w:rFonts w:ascii="Cambria Math" w:hAnsi="Cambria Math"/>
                  </w:rPr>
                  <m:t xml:space="preserve">d</m:t>
                </m:r>
                <m:r>
                  <w:rPr>
                    <w:rFonts w:ascii="Cambria Math" w:hAnsi="Cambria Math"/>
                  </w:rPr>
                  <m:t xml:space="preserve">e</m:t>
                </m:r>
                <m:r>
                  <w:rPr>
                    <w:rFonts w:ascii="Cambria Math" w:hAnsi="Cambria Math"/>
                  </w:rPr>
                  <m:t xml:space="preserve">r</m:t>
                </m:r>
                <m:r>
                  <w:rPr>
                    <w:rFonts w:ascii="Cambria Math" w:hAnsi="Cambria Math"/>
                  </w:rPr>
                  <m:t xml:space="preserve">s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N</m:t>
                </m:r>
              </m:e>
              <m:sub>
                <m:r>
                  <w:rPr>
                    <w:rFonts w:ascii="Cambria Math" w:hAnsi="Cambria Math"/>
                  </w:rPr>
                  <m:t xml:space="preserve">L</m:t>
                </m:r>
                <m:r>
                  <w:rPr>
                    <w:rFonts w:ascii="Cambria Math" w:hAnsi="Cambria Math"/>
                  </w:rPr>
                  <m:t xml:space="preserve">a</m:t>
                </m:r>
                <m:r>
                  <w:rPr>
                    <w:rFonts w:ascii="Cambria Math" w:hAnsi="Cambria Math"/>
                  </w:rPr>
                  <m:t xml:space="preserve">t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o</m:t>
                </m:r>
                <m:r>
                  <w:rPr>
                    <w:rFonts w:ascii="Cambria Math" w:hAnsi="Cambria Math"/>
                  </w:rPr>
                  <m:t xml:space="preserve">s</m:t>
                </m:r>
                <m:bar>
                  <m:barPr>
                    <m:pos m:val="top"/>
                  </m:barPr>
                  <m:e>
                    <m:r>
                      <w:rPr>
                        <w:rFonts w:ascii="Cambria Math" w:hAnsi="Cambria Math"/>
                      </w:rPr>
                      <m:t xml:space="preserve">s</m:t>
                    </m:r>
                  </m:e>
                </m:bar>
                <m:r>
                  <w:rPr>
                    <w:rFonts w:ascii="Cambria Math" w:hAnsi="Cambria Math"/>
                  </w:rPr>
                  <m:t xml:space="preserve">P</m:t>
                </m:r>
                <m:r>
                  <w:rPr>
                    <w:rFonts w:ascii="Cambria Math" w:hAnsi="Cambria Math"/>
                  </w:rPr>
                  <m:t xml:space="preserve">a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D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s</m:t>
                </m:r>
                <m:r>
                  <w:rPr>
                    <w:rFonts w:ascii="Cambria Math" w:hAnsi="Cambria Math"/>
                  </w:rPr>
                  <m:t xml:space="preserve">o</m:t>
                </m:r>
                <m:r>
                  <w:rPr>
                    <w:rFonts w:ascii="Cambria Math" w:hAnsi="Cambria Math"/>
                  </w:rPr>
                  <m:t xml:space="preserve">r</m:t>
                </m:r>
                <m:r>
                  <w:rPr>
                    <w:rFonts w:ascii="Cambria Math" w:hAnsi="Cambria Math"/>
                  </w:rPr>
                  <m:t xml:space="preserve">d</m:t>
                </m:r>
                <m:r>
                  <w:rPr>
                    <w:rFonts w:ascii="Cambria Math" w:hAnsi="Cambria Math"/>
                  </w:rPr>
                  <m:t xml:space="preserve">e</m:t>
                </m:r>
                <m:r>
                  <w:rPr>
                    <w:rFonts w:ascii="Cambria Math" w:hAnsi="Cambria Math"/>
                  </w:rPr>
                  <m:t xml:space="preserve">r</m:t>
                </m:r>
                <m:r>
                  <w:rPr>
                    <w:rFonts w:ascii="Cambria Math" w:hAnsi="Cambria Math"/>
                  </w:rPr>
                  <m:t xml:space="preserve">s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72</m:t>
            </m:r>
          </m:num>
          <m:den>
            <m:r>
              <w:rPr>
                <w:rFonts w:ascii="Cambria Math" w:hAnsi="Cambria Math"/>
              </w:rPr>
              <m:t xml:space="preserve">128</m:t>
            </m:r>
          </m:den>
        </m:f>
        <m:r>
          <w:rPr>
            <w:rFonts w:ascii="Cambria Math" w:hAnsi="Cambria Math"/>
          </w:rPr>
          <m:t xml:space="preserve">≈</m:t>
        </m:r>
        <m:r>
          <w:rPr>
            <w:rFonts w:ascii="Cambria Math" w:hAnsi="Cambria Math"/>
          </w:rPr>
          <m:t xml:space="preserve">.56</m:t>
        </m:r>
      </m:oMath>
    </w:p>
    <w:p>
      <w:pPr>
        <w:pStyle w:val="Compact"/>
        <w:numPr>
          <w:ilvl w:val="0"/>
          <w:numId w:val="271"/>
        </w:numPr>
        <w:rPr/>
      </w:pPr>
      <w:r>
        <w:rPr/>
        <w:t xml:space="preserve">Odds of pain diagnosis among </w:t>
      </w:r>
      <w:r>
        <w:rPr>
          <w:b/>
          <w:bCs/>
        </w:rPr>
        <w:t>non-Latino</w:t>
      </w:r>
      <w:r>
        <w:rPr/>
        <w:t xml:space="preserve"> patients with OUDs: </w:t>
      </w:r>
      <w:r>
        <w:rPr/>
      </w:r>
      <m:oMath xmlns:m="http://schemas.openxmlformats.org/officeDocument/2006/math">
        <m:f>
          <m:num>
            <m:sSub>
              <m:e>
                <m:r>
                  <w:rPr>
                    <w:rFonts w:ascii="Cambria Math" w:hAnsi="Cambria Math"/>
                  </w:rPr>
                  <m:t xml:space="preserve">N</m:t>
                </m:r>
              </m:e>
              <m:sub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o</m:t>
                </m:r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−</m:t>
                </m:r>
                <m:r>
                  <w:rPr>
                    <w:rFonts w:ascii="Cambria Math" w:hAnsi="Cambria Math"/>
                  </w:rPr>
                  <m:t xml:space="preserve">L</m:t>
                </m:r>
                <m:r>
                  <w:rPr>
                    <w:rFonts w:ascii="Cambria Math" w:hAnsi="Cambria Math"/>
                  </w:rPr>
                  <m:t xml:space="preserve">a</m:t>
                </m:r>
                <m:r>
                  <w:rPr>
                    <w:rFonts w:ascii="Cambria Math" w:hAnsi="Cambria Math"/>
                  </w:rPr>
                  <m:t xml:space="preserve">t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o</m:t>
                </m:r>
                <m:r>
                  <w:rPr>
                    <w:rFonts w:ascii="Cambria Math" w:hAnsi="Cambria Math"/>
                  </w:rPr>
                  <m:t xml:space="preserve">s</m:t>
                </m:r>
                <m:bar>
                  <m:barPr>
                    <m:pos m:val="top"/>
                  </m:barPr>
                  <m:e>
                    <m:r>
                      <w:rPr>
                        <w:rFonts w:ascii="Cambria Math" w:hAnsi="Cambria Math"/>
                      </w:rPr>
                      <m:t xml:space="preserve">c</m:t>
                    </m:r>
                  </m:e>
                </m:bar>
                <m:r>
                  <w:rPr>
                    <w:rFonts w:ascii="Cambria Math" w:hAnsi="Cambria Math"/>
                  </w:rPr>
                  <m:t xml:space="preserve">P</m:t>
                </m:r>
                <m:r>
                  <w:rPr>
                    <w:rFonts w:ascii="Cambria Math" w:hAnsi="Cambria Math"/>
                  </w:rPr>
                  <m:t xml:space="preserve">a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D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s</m:t>
                </m:r>
                <m:r>
                  <w:rPr>
                    <w:rFonts w:ascii="Cambria Math" w:hAnsi="Cambria Math"/>
                  </w:rPr>
                  <m:t xml:space="preserve">o</m:t>
                </m:r>
                <m:r>
                  <w:rPr>
                    <w:rFonts w:ascii="Cambria Math" w:hAnsi="Cambria Math"/>
                  </w:rPr>
                  <m:t xml:space="preserve">r</m:t>
                </m:r>
                <m:r>
                  <w:rPr>
                    <w:rFonts w:ascii="Cambria Math" w:hAnsi="Cambria Math"/>
                  </w:rPr>
                  <m:t xml:space="preserve">d</m:t>
                </m:r>
                <m:r>
                  <w:rPr>
                    <w:rFonts w:ascii="Cambria Math" w:hAnsi="Cambria Math"/>
                  </w:rPr>
                  <m:t xml:space="preserve">e</m:t>
                </m:r>
                <m:r>
                  <w:rPr>
                    <w:rFonts w:ascii="Cambria Math" w:hAnsi="Cambria Math"/>
                  </w:rPr>
                  <m:t xml:space="preserve">r</m:t>
                </m:r>
                <m:r>
                  <w:rPr>
                    <w:rFonts w:ascii="Cambria Math" w:hAnsi="Cambria Math"/>
                  </w:rPr>
                  <m:t xml:space="preserve">s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N</m:t>
                </m:r>
              </m:e>
              <m:sub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o</m:t>
                </m:r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−</m:t>
                </m:r>
                <m:r>
                  <w:rPr>
                    <w:rFonts w:ascii="Cambria Math" w:hAnsi="Cambria Math"/>
                  </w:rPr>
                  <m:t xml:space="preserve">L</m:t>
                </m:r>
                <m:r>
                  <w:rPr>
                    <w:rFonts w:ascii="Cambria Math" w:hAnsi="Cambria Math"/>
                  </w:rPr>
                  <m:t xml:space="preserve">a</m:t>
                </m:r>
                <m:r>
                  <w:rPr>
                    <w:rFonts w:ascii="Cambria Math" w:hAnsi="Cambria Math"/>
                  </w:rPr>
                  <m:t xml:space="preserve">t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o</m:t>
                </m:r>
                <m:r>
                  <w:rPr>
                    <w:rFonts w:ascii="Cambria Math" w:hAnsi="Cambria Math"/>
                  </w:rPr>
                  <m:t xml:space="preserve">s</m:t>
                </m:r>
                <m:bar>
                  <m:barPr>
                    <m:pos m:val="top"/>
                  </m:barPr>
                  <m:e>
                    <m:r>
                      <w:rPr>
                        <w:rFonts w:ascii="Cambria Math" w:hAnsi="Cambria Math"/>
                      </w:rPr>
                      <m:t xml:space="preserve">s</m:t>
                    </m:r>
                  </m:e>
                </m:bar>
                <m:r>
                  <w:rPr>
                    <w:rFonts w:ascii="Cambria Math" w:hAnsi="Cambria Math"/>
                  </w:rPr>
                  <m:t xml:space="preserve">P</m:t>
                </m:r>
                <m:r>
                  <w:rPr>
                    <w:rFonts w:ascii="Cambria Math" w:hAnsi="Cambria Math"/>
                  </w:rPr>
                  <m:t xml:space="preserve">a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n</m:t>
                </m:r>
                <m:r>
                  <w:rPr>
                    <w:rFonts w:ascii="Cambria Math" w:hAnsi="Cambria Math"/>
                  </w:rPr>
                  <m:t xml:space="preserve">D</m:t>
                </m:r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s</m:t>
                </m:r>
                <m:r>
                  <w:rPr>
                    <w:rFonts w:ascii="Cambria Math" w:hAnsi="Cambria Math"/>
                  </w:rPr>
                  <m:t xml:space="preserve">o</m:t>
                </m:r>
                <m:r>
                  <w:rPr>
                    <w:rFonts w:ascii="Cambria Math" w:hAnsi="Cambria Math"/>
                  </w:rPr>
                  <m:t xml:space="preserve">r</m:t>
                </m:r>
                <m:r>
                  <w:rPr>
                    <w:rFonts w:ascii="Cambria Math" w:hAnsi="Cambria Math"/>
                  </w:rPr>
                  <m:t xml:space="preserve">d</m:t>
                </m:r>
                <m:r>
                  <w:rPr>
                    <w:rFonts w:ascii="Cambria Math" w:hAnsi="Cambria Math"/>
                  </w:rPr>
                  <m:t xml:space="preserve">e</m:t>
                </m:r>
                <m:r>
                  <w:rPr>
                    <w:rFonts w:ascii="Cambria Math" w:hAnsi="Cambria Math"/>
                  </w:rPr>
                  <m:t xml:space="preserve">r</m:t>
                </m:r>
                <m:r>
                  <w:rPr>
                    <w:rFonts w:ascii="Cambria Math" w:hAnsi="Cambria Math"/>
                  </w:rPr>
                  <m:t xml:space="preserve">s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223</m:t>
            </m:r>
          </m:num>
          <m:den>
            <m:r>
              <w:rPr>
                <w:rFonts w:ascii="Cambria Math" w:hAnsi="Cambria Math"/>
              </w:rPr>
              <m:t xml:space="preserve">241</m:t>
            </m:r>
          </m:den>
        </m:f>
        <m:r>
          <w:rPr>
            <w:rFonts w:ascii="Cambria Math" w:hAnsi="Cambria Math"/>
          </w:rPr>
          <m:t xml:space="preserve">≈</m:t>
        </m:r>
        <m:r>
          <w:rPr>
            <w:rFonts w:ascii="Cambria Math" w:hAnsi="Cambria Math"/>
          </w:rPr>
          <m:t xml:space="preserve">.92</m:t>
        </m:r>
      </m:oMath>
      <w:bookmarkEnd w:id="33"/>
    </w:p>
    <w:p>
      <w:pPr>
        <w:pStyle w:val="Heading2"/>
        <w:rPr/>
      </w:pPr>
      <w:r>
        <w:rPr/>
        <w:t>Odds Ratios: Equation</w:t>
      </w:r>
    </w:p>
    <w:tbl>
      <w:tblPr>
        <w:tblW w:w="93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120"/>
        <w:gridCol w:w="3120"/>
        <w:gridCol w:w="3120"/>
      </w:tblGrid>
      <w:tr>
        <w:trPr>
          <w:tblHeader w:val="true"/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Group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Present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Not Present)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Target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A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B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Reference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C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D</w:t>
            </w:r>
          </w:p>
        </w:tc>
      </w:tr>
    </w:tbl>
    <w:p>
      <w:pPr>
        <w:pStyle w:val="BodyText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(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Target &amp; Present / Target &amp; Not Present</m:t>
              </m:r>
              <m:r>
                <w:rPr>
                  <w:rFonts w:ascii="Cambria Math" w:hAnsi="Cambria Math"/>
                </w:rPr>
                <m:t xml:space="preserve">)</m:t>
              </m:r>
            </m:num>
            <m:den>
              <m:r>
                <w:rPr>
                  <w:rFonts w:ascii="Cambria Math" w:hAnsi="Cambria Math"/>
                </w:rPr>
                <m:t xml:space="preserve">(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Reference &amp; Present / Reference &amp; Not Present</m:t>
              </m:r>
              <m:r>
                <w:rPr>
                  <w:rFonts w:ascii="Cambria Math" w:hAnsi="Cambria Math"/>
                </w:rPr>
                <m:t xml:space="preserve">)</m:t>
              </m:r>
            </m:den>
          </m:f>
        </m:oMath>
      </m:oMathPara>
    </w:p>
    <w:p>
      <w:pPr>
        <w:pStyle w:val="FirstParagraph"/>
        <w:jc w:val="center"/>
        <w:rPr/>
      </w:pPr>
      <w:bookmarkStart w:id="34" w:name="odds-ratios-equation"/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(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A / B\\\)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\\\(C / D\\\)</m:t>
              </m:r>
            </m:den>
          </m:f>
        </m:oMath>
      </m:oMathPara>
      <w:bookmarkEnd w:id="34"/>
    </w:p>
    <w:p>
      <w:pPr>
        <w:pStyle w:val="Heading2"/>
        <w:rPr/>
      </w:pPr>
      <w:r>
        <w:rPr/>
        <w:t>Odds Ratios: Example (cont.)</w:t>
      </w:r>
    </w:p>
    <w:tbl>
      <w:tblPr>
        <w:tblW w:w="93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120"/>
        <w:gridCol w:w="3120"/>
        <w:gridCol w:w="3120"/>
      </w:tblGrid>
      <w:tr>
        <w:trPr>
          <w:tblHeader w:val="true"/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Ethnicity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Diagnosed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Not Diagnosed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Latin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72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128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Non-Latin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223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241</w:t>
            </w:r>
          </w:p>
        </w:tc>
      </w:tr>
    </w:tbl>
    <w:p>
      <w:pPr>
        <w:pStyle w:val="BodyText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(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Latin &amp; Diagnosed / Latin &amp; Not Diagnosed</m:t>
              </m:r>
              <m:r>
                <w:rPr>
                  <w:rFonts w:ascii="Cambria Math" w:hAnsi="Cambria Math"/>
                </w:rPr>
                <m:t xml:space="preserve">)</m:t>
              </m:r>
            </m:num>
            <m:den>
              <m:r>
                <w:rPr>
                  <w:rFonts w:ascii="Cambria Math" w:hAnsi="Cambria Math"/>
                </w:rPr>
                <m:t xml:space="preserve">(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Non-Latin &amp; Diagnosed / Non-Latin &amp; Not Diagnosed</m:t>
              </m:r>
              <m:r>
                <w:rPr>
                  <w:rFonts w:ascii="Cambria Math" w:hAnsi="Cambria Math"/>
                </w:rPr>
                <m:t xml:space="preserve">)</m:t>
              </m:r>
            </m:den>
          </m:f>
        </m:oMath>
      </m:oMathPara>
    </w:p>
    <w:p>
      <w:pPr>
        <w:pStyle w:val="FirstParagraph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(</m:t>
              </m:r>
              <m:f>
                <m:fPr>
                  <m:type m:val="lin"/>
                </m:fPr>
                <m:num>
                  <m:r>
                    <w:rPr>
                      <w:rFonts w:ascii="Cambria Math" w:hAnsi="Cambria Math"/>
                    </w:rPr>
                    <m:t xml:space="preserve">72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128</m:t>
                  </m:r>
                </m:den>
              </m:f>
              <m:r>
                <w:rPr>
                  <w:rFonts w:ascii="Cambria Math" w:hAnsi="Cambria Math"/>
                </w:rPr>
                <m:t xml:space="preserve">)</m:t>
              </m:r>
            </m:num>
            <m:den>
              <m:r>
                <w:rPr>
                  <w:rFonts w:ascii="Cambria Math" w:hAnsi="Cambria Math"/>
                </w:rPr>
                <m:t xml:space="preserve">(</m:t>
              </m:r>
              <m:f>
                <m:fPr>
                  <m:type m:val="lin"/>
                </m:fPr>
                <m:num>
                  <m:r>
                    <w:rPr>
                      <w:rFonts w:ascii="Cambria Math" w:hAnsi="Cambria Math"/>
                    </w:rPr>
                    <m:t xml:space="preserve">223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241</m:t>
                  </m:r>
                </m:den>
              </m:f>
              <m:r>
                <w:rPr>
                  <w:rFonts w:ascii="Cambria Math" w:hAnsi="Cambria Math"/>
                </w:rPr>
                <m:t xml:space="preserve">)</m:t>
              </m:r>
            </m:den>
          </m:f>
          <m:r>
            <w:rPr>
              <w:rFonts w:ascii="Cambria Math" w:hAnsi="Cambria Math"/>
            </w:rPr>
            <m:t xml:space="preserve">≈</m:t>
          </m:r>
          <m:f>
            <m:num>
              <m:r>
                <w:rPr>
                  <w:rFonts w:ascii="Cambria Math" w:hAnsi="Cambria Math"/>
                </w:rPr>
                <m:t xml:space="preserve">.56</m:t>
              </m:r>
            </m:num>
            <m:den>
              <m:r>
                <w:rPr>
                  <w:rFonts w:ascii="Cambria Math" w:hAnsi="Cambria Math"/>
                </w:rPr>
                <m:t xml:space="preserve">.92</m:t>
              </m:r>
            </m:den>
          </m:f>
          <m:r>
            <w:rPr>
              <w:rFonts w:ascii="Cambria Math" w:hAnsi="Cambria Math"/>
            </w:rPr>
            <m:t xml:space="preserve">≈</m:t>
          </m:r>
          <m:r>
            <w:rPr>
              <w:rFonts w:ascii="Cambria Math" w:hAnsi="Cambria Math"/>
            </w:rPr>
            <m:t xml:space="preserve">.61</m:t>
          </m:r>
        </m:oMath>
      </m:oMathPara>
    </w:p>
    <w:p>
      <w:pPr>
        <w:pStyle w:val="Compact"/>
        <w:numPr>
          <w:ilvl w:val="0"/>
          <w:numId w:val="272"/>
        </w:numPr>
        <w:rPr/>
      </w:pPr>
      <w:bookmarkStart w:id="35" w:name="odds-ratios-example-cont."/>
      <w:r>
        <w:rPr/>
        <w:t>The odds of a Latino patient being diagnosed with a pain disorder were about 61% of the odds for a non-Latino patient.</w:t>
      </w:r>
      <w:bookmarkEnd w:id="35"/>
    </w:p>
    <w:p>
      <w:pPr>
        <w:pStyle w:val="Heading2"/>
        <w:rPr/>
      </w:pPr>
      <w:bookmarkStart w:id="36" w:name="odds-ratios-example-cont.-1"/>
      <w:r>
        <w:rPr/>
        <w:t>Odds Ratios: Example (cont.)</w:t>
      </w:r>
    </w:p>
    <w:p>
      <w:pPr>
        <w:pStyle w:val="Compact"/>
        <w:numPr>
          <w:ilvl w:val="0"/>
          <w:numId w:val="273"/>
        </w:numPr>
        <w:rPr/>
      </w:pPr>
      <w:r>
        <w:rPr/>
        <w:t>Could also look at it from the non-Latin perspective</w:t>
      </w:r>
    </w:p>
    <w:p>
      <w:pPr>
        <w:pStyle w:val="FirstParagraph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O</m:t>
          </m:r>
          <m:r>
            <w:rPr>
              <w:rFonts w:ascii="Cambria Math" w:hAnsi="Cambria Math"/>
            </w:rPr>
            <m:t xml:space="preserve">R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(</m:t>
              </m:r>
              <m:f>
                <m:fPr>
                  <m:type m:val="lin"/>
                </m:fPr>
                <m:num>
                  <m:r>
                    <w:rPr>
                      <w:rFonts w:ascii="Cambria Math" w:hAnsi="Cambria Math"/>
                    </w:rPr>
                    <m:t xml:space="preserve">223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241</m:t>
                  </m:r>
                </m:den>
              </m:f>
              <m:r>
                <w:rPr>
                  <w:rFonts w:ascii="Cambria Math" w:hAnsi="Cambria Math"/>
                </w:rPr>
                <m:t xml:space="preserve">)</m:t>
              </m:r>
            </m:num>
            <m:den>
              <m:r>
                <w:rPr>
                  <w:rFonts w:ascii="Cambria Math" w:hAnsi="Cambria Math"/>
                </w:rPr>
                <m:t xml:space="preserve">(</m:t>
              </m:r>
              <m:f>
                <m:fPr>
                  <m:type m:val="lin"/>
                </m:fPr>
                <m:num>
                  <m:r>
                    <w:rPr>
                      <w:rFonts w:ascii="Cambria Math" w:hAnsi="Cambria Math"/>
                    </w:rPr>
                    <m:t xml:space="preserve">72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128</m:t>
                  </m:r>
                </m:den>
              </m:f>
              <m:r>
                <w:rPr>
                  <w:rFonts w:ascii="Cambria Math" w:hAnsi="Cambria Math"/>
                </w:rPr>
                <m:t xml:space="preserve">)</m:t>
              </m:r>
            </m:den>
          </m:f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.92</m:t>
              </m:r>
            </m:num>
            <m:den>
              <m:r>
                <w:rPr>
                  <w:rFonts w:ascii="Cambria Math" w:hAnsi="Cambria Math"/>
                </w:rPr>
                <m:t xml:space="preserve">.56</m:t>
              </m:r>
            </m:den>
          </m:f>
          <m:r>
            <w:rPr>
              <w:rFonts w:ascii="Cambria Math" w:hAnsi="Cambria Math"/>
            </w:rPr>
            <m:t xml:space="preserve">≈</m:t>
          </m:r>
          <m:r>
            <w:rPr>
              <w:rFonts w:ascii="Cambria Math" w:hAnsi="Cambria Math"/>
            </w:rPr>
            <m:t xml:space="preserve">1.6</m:t>
          </m:r>
        </m:oMath>
      </m:oMathPara>
    </w:p>
    <w:p>
      <w:pPr>
        <w:pStyle w:val="FirstParagraph"/>
        <w:rPr/>
      </w:pPr>
      <w:r>
        <w:rPr/>
        <w:t xml:space="preserve">Note that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.61</m:t>
            </m:r>
          </m:den>
        </m:f>
        <m:r>
          <w:rPr>
            <w:rFonts w:ascii="Cambria Math" w:hAnsi="Cambria Math"/>
          </w:rPr>
          <m:t xml:space="preserve">≈</m:t>
        </m:r>
        <m:r>
          <w:rPr>
            <w:rFonts w:ascii="Cambria Math" w:hAnsi="Cambria Math"/>
          </w:rPr>
          <m:t xml:space="preserve">1.6</m:t>
        </m:r>
      </m:oMath>
    </w:p>
    <w:p>
      <w:pPr>
        <w:pStyle w:val="Compact"/>
        <w:numPr>
          <w:ilvl w:val="0"/>
          <w:numId w:val="274"/>
        </w:numPr>
        <w:rPr/>
      </w:pPr>
      <w:r>
        <w:rPr/>
        <w:t xml:space="preserve">For every 1 Latino OUD patient diagnosed with a pain disorder, 1.6 </w:t>
      </w:r>
      <w:r>
        <w:rPr>
          <w:i/>
          <w:iCs/>
        </w:rPr>
        <w:t>Non-Latino</w:t>
      </w:r>
      <w:r>
        <w:rPr/>
        <w:t xml:space="preserve"> OUD patients </w:t>
      </w:r>
      <w:r>
        <w:rPr/>
        <w:t>are</w:t>
      </w:r>
      <w:r>
        <w:rPr/>
        <w:t xml:space="preserve"> so diagnosed</w:t>
      </w:r>
      <w:bookmarkEnd w:id="28"/>
      <w:bookmarkEnd w:id="36"/>
    </w:p>
    <w:p>
      <w:pPr>
        <w:pStyle w:val="Heading1"/>
        <w:rPr/>
      </w:pPr>
      <w:bookmarkStart w:id="37" w:name="contingency-tables-fishers-exact-test"/>
      <w:r>
        <w:rPr/>
        <w:t>Contingency Tables &amp;Fisher’s Exact Test</w:t>
      </w:r>
    </w:p>
    <w:p>
      <w:pPr>
        <w:pStyle w:val="Heading2"/>
        <w:rPr/>
      </w:pPr>
      <w:r>
        <w:rPr/>
        <w:t>Contingency Tables</w:t>
      </w:r>
    </w:p>
    <w:p>
      <w:pPr>
        <w:pStyle w:val="Compact"/>
        <w:numPr>
          <w:ilvl w:val="0"/>
          <w:numId w:val="275"/>
        </w:numPr>
        <w:rPr/>
      </w:pPr>
      <w:r>
        <w:rPr/>
        <w:t>Also called “cross tables”</w:t>
      </w:r>
    </w:p>
    <w:p>
      <w:pPr>
        <w:pStyle w:val="Compact"/>
        <w:numPr>
          <w:ilvl w:val="0"/>
          <w:numId w:val="276"/>
        </w:numPr>
        <w:rPr/>
      </w:pPr>
      <w:r>
        <w:rPr/>
        <w:t>Displays the counts (frequencies) of events in different categories</w:t>
      </w:r>
    </w:p>
    <w:p>
      <w:pPr>
        <w:pStyle w:val="Compact"/>
        <w:numPr>
          <w:ilvl w:val="1"/>
          <w:numId w:val="277"/>
        </w:numPr>
        <w:rPr/>
      </w:pPr>
      <w:r>
        <w:rPr/>
        <w:t>And often used to compute probabilities</w:t>
      </w:r>
    </w:p>
    <w:p>
      <w:pPr>
        <w:pStyle w:val="Compact"/>
        <w:numPr>
          <w:ilvl w:val="0"/>
          <w:numId w:val="278"/>
        </w:numPr>
        <w:rPr/>
      </w:pPr>
      <w:r>
        <w:rPr/>
        <w:t>Is usually intended to be used when outcomes are “exclusive”—that all options are presented</w:t>
      </w:r>
    </w:p>
    <w:p>
      <w:pPr>
        <w:pStyle w:val="Compact"/>
        <w:numPr>
          <w:ilvl w:val="0"/>
          <w:numId w:val="279"/>
        </w:numPr>
        <w:rPr/>
      </w:pPr>
      <w:r>
        <w:rPr/>
        <w:t>IFF it is exclusive, can conduct meaningful tests on whether the frequencies differ between groups, etc.</w:t>
      </w:r>
    </w:p>
    <w:p>
      <w:pPr>
        <w:pStyle w:val="Compact"/>
        <w:numPr>
          <w:ilvl w:val="1"/>
          <w:numId w:val="280"/>
        </w:numPr>
        <w:rPr/>
      </w:pPr>
      <w:hyperlink r:id="rId36">
        <w:r>
          <w:rPr>
            <w:rStyle w:val="Hyperlink"/>
          </w:rPr>
          <w:t>Fisher’s exact test</w:t>
        </w:r>
      </w:hyperlink>
      <w:r>
        <w:rPr/>
        <w:t xml:space="preserve"> can be used to test 2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×</m:t>
        </m:r>
      </m:oMath>
      <w:r>
        <w:rPr/>
        <w:t xml:space="preserve"> 2 tables</w:t>
      </w:r>
    </w:p>
    <w:p>
      <w:pPr>
        <w:pStyle w:val="Compact"/>
        <w:numPr>
          <w:ilvl w:val="2"/>
          <w:numId w:val="281"/>
        </w:numPr>
        <w:rPr/>
      </w:pPr>
      <w:r>
        <w:rPr/>
        <w:t xml:space="preserve">N.b., Fisher’s exact test </w:t>
      </w:r>
      <w:hyperlink r:id="rId37">
        <w:r>
          <w:rPr>
            <w:rStyle w:val="Hyperlink"/>
          </w:rPr>
          <w:t>can also be used</w:t>
        </w:r>
      </w:hyperlink>
      <w:r>
        <w:rPr/>
        <w:t xml:space="preserve"> on contingency tables larger than 2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×</m:t>
        </m:r>
      </m:oMath>
      <w:r>
        <w:rPr/>
        <w:t xml:space="preserve"> 2</w:t>
      </w:r>
    </w:p>
    <w:p>
      <w:pPr>
        <w:pStyle w:val="Compact"/>
        <w:numPr>
          <w:ilvl w:val="1"/>
          <w:numId w:val="282"/>
        </w:numPr>
        <w:rPr/>
      </w:pPr>
      <w:bookmarkStart w:id="38" w:name="contingency-tables"/>
      <w:r>
        <w:rPr/>
        <w:t>In fact, it’s better than χ² with small cell counts (&lt;5)</w:t>
      </w:r>
      <w:bookmarkEnd w:id="38"/>
    </w:p>
    <w:p>
      <w:pPr>
        <w:pStyle w:val="Heading2"/>
        <w:rPr/>
      </w:pPr>
      <w:bookmarkStart w:id="39" w:name="contingency-tables-cont."/>
      <w:r>
        <w:rPr/>
        <w:t>Contingency Tables (cont.)</w:t>
      </w:r>
    </w:p>
    <w:p>
      <w:pPr>
        <w:pStyle w:val="FirstParagraph"/>
        <w:rPr/>
      </w:pPr>
      <w:r>
        <w:rPr/>
        <w:t>Yeah, like this:</w:t>
      </w:r>
    </w:p>
    <w:tbl>
      <w:tblPr>
        <w:tblW w:w="93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120"/>
        <w:gridCol w:w="3120"/>
        <w:gridCol w:w="3120"/>
      </w:tblGrid>
      <w:tr>
        <w:trPr>
          <w:tblHeader w:val="true"/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Ethnicity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Diagnosed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Not Diagnosed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Latin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72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128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Non-Latin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223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241</w:t>
            </w:r>
          </w:p>
        </w:tc>
      </w:tr>
    </w:tbl>
    <w:p>
      <w:pPr>
        <w:pStyle w:val="BodyText"/>
        <w:rPr/>
      </w:pPr>
      <w:r>
        <w:rPr/>
      </w:r>
    </w:p>
    <w:p>
      <w:pPr>
        <w:pStyle w:val="Compact"/>
        <w:numPr>
          <w:ilvl w:val="0"/>
          <w:numId w:val="283"/>
        </w:numPr>
        <w:rPr/>
      </w:pPr>
      <w:r>
        <w:rPr/>
        <w:t xml:space="preserve">Odds among Latinos =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72</m:t>
            </m:r>
          </m:num>
          <m:den>
            <m:r>
              <w:rPr>
                <w:rFonts w:ascii="Cambria Math" w:hAnsi="Cambria Math"/>
              </w:rPr>
              <m:t xml:space="preserve">128</m:t>
            </m:r>
          </m:den>
        </m:f>
        <m:r>
          <w:rPr>
            <w:rFonts w:ascii="Cambria Math" w:hAnsi="Cambria Math"/>
          </w:rPr>
          <m:t xml:space="preserve">≈</m:t>
        </m:r>
        <m:r>
          <w:rPr>
            <w:rFonts w:ascii="Cambria Math" w:hAnsi="Cambria Math"/>
          </w:rPr>
          <m:t xml:space="preserve">.56</m:t>
        </m:r>
      </m:oMath>
    </w:p>
    <w:p>
      <w:pPr>
        <w:pStyle w:val="Compact"/>
        <w:numPr>
          <w:ilvl w:val="0"/>
          <w:numId w:val="284"/>
        </w:numPr>
        <w:rPr/>
      </w:pPr>
      <w:r>
        <w:rPr/>
        <w:t xml:space="preserve">Odds among non-Latinos =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223</m:t>
            </m:r>
          </m:num>
          <m:den>
            <m:r>
              <w:rPr>
                <w:rFonts w:ascii="Cambria Math" w:hAnsi="Cambria Math"/>
              </w:rPr>
              <m:t xml:space="preserve">241</m:t>
            </m:r>
          </m:den>
        </m:f>
        <m:r>
          <w:rPr>
            <w:rFonts w:ascii="Cambria Math" w:hAnsi="Cambria Math"/>
          </w:rPr>
          <m:t xml:space="preserve">≈</m:t>
        </m:r>
        <m:r>
          <w:rPr>
            <w:rFonts w:ascii="Cambria Math" w:hAnsi="Cambria Math"/>
          </w:rPr>
          <m:t xml:space="preserve">.92</m:t>
        </m:r>
      </m:oMath>
    </w:p>
    <w:p>
      <w:pPr>
        <w:pStyle w:val="Compact"/>
        <w:numPr>
          <w:ilvl w:val="0"/>
          <w:numId w:val="285"/>
        </w:numPr>
        <w:rPr/>
      </w:pPr>
      <w:r>
        <w:rPr/>
        <w:t xml:space="preserve">Odds ratio =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.56</m:t>
            </m:r>
          </m:num>
          <m:den>
            <m:r>
              <w:rPr>
                <w:rFonts w:ascii="Cambria Math" w:hAnsi="Cambria Math"/>
              </w:rPr>
              <m:t xml:space="preserve">.92</m:t>
            </m:r>
          </m:den>
        </m:f>
        <m:r>
          <w:rPr>
            <w:rFonts w:ascii="Cambria Math" w:hAnsi="Cambria Math"/>
          </w:rPr>
          <m:t xml:space="preserve">≈</m:t>
        </m:r>
        <m:r>
          <w:rPr>
            <w:rFonts w:ascii="Cambria Math" w:hAnsi="Cambria Math"/>
          </w:rPr>
          <m:t xml:space="preserve">.61</m:t>
        </m:r>
      </m:oMath>
      <w:bookmarkEnd w:id="39"/>
    </w:p>
    <w:p>
      <w:pPr>
        <w:pStyle w:val="Heading2"/>
        <w:rPr/>
      </w:pPr>
      <w:r>
        <w:rPr/>
        <w:t>Fisher’s Exact Test</w:t>
      </w:r>
    </w:p>
    <w:p>
      <w:pPr>
        <w:pStyle w:val="Compact"/>
        <w:numPr>
          <w:ilvl w:val="0"/>
          <w:numId w:val="286"/>
        </w:numPr>
        <w:rPr/>
      </w:pPr>
      <w:r>
        <w:rPr/>
        <w:t xml:space="preserve">Invented to test if Fisher’s colleague, </w:t>
      </w:r>
      <w:hyperlink r:id="rId38">
        <w:r>
          <w:rPr>
            <w:rStyle w:val="Hyperlink"/>
          </w:rPr>
          <w:t>Muriel Bristol</w:t>
        </w:r>
      </w:hyperlink>
      <w:r>
        <w:rPr/>
        <w:t xml:space="preserve">, could indeed tell if cream or tea </w:t>
      </w:r>
      <w:hyperlink r:id="rId39">
        <w:r>
          <w:rPr>
            <w:rStyle w:val="Hyperlink"/>
          </w:rPr>
          <w:t>were poured first into a cup</w:t>
        </w:r>
      </w:hyperlink>
    </w:p>
    <w:p>
      <w:pPr>
        <w:pStyle w:val="Compact"/>
        <w:numPr>
          <w:ilvl w:val="0"/>
          <w:numId w:val="287"/>
        </w:numPr>
        <w:rPr/>
      </w:pPr>
      <w:r>
        <w:rPr/>
        <w:t xml:space="preserve">Called an “exact” test because it computes the exact </w:t>
      </w:r>
      <w:r>
        <w:rPr>
          <w:i/>
          <w:iCs/>
        </w:rPr>
        <w:t>p</w:t>
      </w:r>
      <w:r>
        <w:rPr/>
        <w:t>-value for rejection</w:t>
      </w:r>
    </w:p>
    <w:p>
      <w:pPr>
        <w:pStyle w:val="Compact"/>
        <w:numPr>
          <w:ilvl w:val="1"/>
          <w:numId w:val="288"/>
        </w:numPr>
        <w:rPr/>
      </w:pPr>
      <w:r>
        <w:rPr/>
        <w:t xml:space="preserve">I.e., </w:t>
      </w:r>
      <w:r>
        <w:rPr>
          <w:i/>
          <w:iCs/>
        </w:rPr>
        <w:t>not</w:t>
      </w:r>
      <w:r>
        <w:rPr/>
        <w:t xml:space="preserve"> an estimate based on inferences about the population(e.g., normality)</w:t>
      </w:r>
    </w:p>
    <w:p>
      <w:pPr>
        <w:pStyle w:val="Compact"/>
        <w:numPr>
          <w:ilvl w:val="1"/>
          <w:numId w:val="289"/>
        </w:numPr>
        <w:rPr/>
      </w:pPr>
      <w:r>
        <w:rPr/>
        <w:t>So, isn’t inferential per se</w:t>
      </w:r>
    </w:p>
    <w:p>
      <w:pPr>
        <w:pStyle w:val="FirstParagraph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67025" cy="4286250"/>
            <wp:effectExtent l="0" t="0" r="0" b="0"/>
            <wp:wrapTopAndBottom/>
            <wp:docPr id="5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/>
      </w:pPr>
      <w:bookmarkStart w:id="40" w:name="fishers-exact-test"/>
      <w:r>
        <w:rPr/>
        <w:t>Dr. Muriel Bristol waiting for her tea</w:t>
      </w:r>
      <w:bookmarkEnd w:id="40"/>
    </w:p>
    <w:p>
      <w:pPr>
        <w:pStyle w:val="Heading2"/>
        <w:rPr/>
      </w:pPr>
      <w:bookmarkStart w:id="41" w:name="fishers-exact-test-example"/>
      <w:r>
        <w:rPr/>
        <w:t>Fisher’s Exact Test Example</w:t>
      </w:r>
    </w:p>
    <w:p>
      <w:pPr>
        <w:pStyle w:val="SourceCode"/>
        <w:rPr/>
      </w:pPr>
      <w:r>
        <w:rPr>
          <w:rStyle w:val="NormalTok"/>
        </w:rPr>
        <w:t xml:space="preserve">pain.df.counts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subset</w:t>
      </w:r>
      <w:r>
        <w:rPr>
          <w:rStyle w:val="NormalTok"/>
        </w:rPr>
        <w:t xml:space="preserve">(pain.df, </w:t>
      </w:r>
      <w:r>
        <w:rPr>
          <w:rStyle w:val="AttributeTok"/>
        </w:rPr>
        <w:t>select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"Diagnosed"</w:t>
      </w:r>
      <w:r>
        <w:rPr>
          <w:rStyle w:val="NormalTok"/>
        </w:rPr>
        <w:t xml:space="preserve">, </w:t>
      </w:r>
      <w:r>
        <w:rPr>
          <w:rStyle w:val="StringTok"/>
        </w:rPr>
        <w:t>"Not_Diagnosed"</w:t>
      </w:r>
      <w:r>
        <w:rPr>
          <w:rStyle w:val="NormalTok"/>
        </w:rPr>
        <w:t>))</w:t>
      </w:r>
      <w:r>
        <w:rPr/>
        <w:br/>
      </w:r>
      <w:r>
        <w:rPr>
          <w:rStyle w:val="FunctionTok"/>
        </w:rPr>
        <w:t>fisher.test</w:t>
      </w:r>
      <w:r>
        <w:rPr>
          <w:rStyle w:val="NormalTok"/>
        </w:rPr>
        <w:t>(pain.df.counts)</w:t>
      </w:r>
    </w:p>
    <w:p>
      <w:pPr>
        <w:pStyle w:val="SourceCode"/>
        <w:rPr/>
      </w:pPr>
      <w:r>
        <w:rPr>
          <w:rStyle w:val="VerbatimChar"/>
        </w:rPr>
        <w:t xml:space="preserve">## </w:t>
      </w:r>
      <w:r>
        <w:rPr/>
        <w:br/>
      </w:r>
      <w:r>
        <w:rPr>
          <w:rStyle w:val="VerbatimChar"/>
        </w:rPr>
        <w:t>##  Fisher's Exact Test for Count Data</w:t>
      </w:r>
      <w:r>
        <w:rPr/>
        <w:br/>
      </w:r>
      <w:r>
        <w:rPr>
          <w:rStyle w:val="VerbatimChar"/>
        </w:rPr>
        <w:t xml:space="preserve">## </w:t>
      </w:r>
      <w:r>
        <w:rPr/>
        <w:br/>
      </w:r>
      <w:r>
        <w:rPr>
          <w:rStyle w:val="VerbatimChar"/>
        </w:rPr>
        <w:t>## data:  pain.df.counts</w:t>
      </w:r>
      <w:r>
        <w:rPr/>
        <w:br/>
      </w:r>
      <w:r>
        <w:rPr>
          <w:rStyle w:val="VerbatimChar"/>
        </w:rPr>
        <w:t>## p-value = 0.00491</w:t>
      </w:r>
      <w:r>
        <w:rPr/>
        <w:br/>
      </w:r>
      <w:r>
        <w:rPr>
          <w:rStyle w:val="VerbatimChar"/>
        </w:rPr>
        <w:t>## alternative hypothesis: true odds ratio is not equal to 1</w:t>
      </w:r>
      <w:r>
        <w:rPr/>
        <w:br/>
      </w:r>
      <w:r>
        <w:rPr>
          <w:rStyle w:val="VerbatimChar"/>
        </w:rPr>
        <w:t>## 95 percent confidence interval:</w:t>
      </w:r>
      <w:r>
        <w:rPr/>
        <w:br/>
      </w:r>
      <w:r>
        <w:rPr>
          <w:rStyle w:val="VerbatimChar"/>
        </w:rPr>
        <w:t>##  0.4250886 0.8665430</w:t>
      </w:r>
      <w:r>
        <w:rPr/>
        <w:br/>
      </w:r>
      <w:r>
        <w:rPr>
          <w:rStyle w:val="VerbatimChar"/>
        </w:rPr>
        <w:t>## sample estimates:</w:t>
      </w:r>
      <w:r>
        <w:rPr/>
        <w:br/>
      </w:r>
      <w:r>
        <w:rPr>
          <w:rStyle w:val="VerbatimChar"/>
        </w:rPr>
        <w:t xml:space="preserve">## odds ratio </w:t>
      </w:r>
      <w:r>
        <w:rPr/>
        <w:br/>
      </w:r>
      <w:r>
        <w:rPr>
          <w:rStyle w:val="VerbatimChar"/>
        </w:rPr>
        <w:t>##  0.6083658</w:t>
      </w:r>
    </w:p>
    <w:p>
      <w:pPr>
        <w:pStyle w:val="Compact"/>
        <w:numPr>
          <w:ilvl w:val="0"/>
          <w:numId w:val="290"/>
        </w:numPr>
        <w:rPr/>
      </w:pPr>
      <w:r>
        <w:rPr/>
        <w:t>The difference in odds (0.56 vs. 0.92) is significant at α = .05</w:t>
      </w:r>
    </w:p>
    <w:p>
      <w:pPr>
        <w:pStyle w:val="Compact"/>
        <w:numPr>
          <w:ilvl w:val="1"/>
          <w:numId w:val="291"/>
        </w:numPr>
        <w:rPr/>
      </w:pPr>
      <w:r>
        <w:rPr/>
        <w:t xml:space="preserve">We see this in </w:t>
      </w:r>
      <w:r>
        <w:rPr>
          <w:rStyle w:val="VerbatimChar"/>
        </w:rPr>
        <w:t>p-value = 0.00491</w:t>
      </w:r>
    </w:p>
    <w:p>
      <w:pPr>
        <w:pStyle w:val="Compact"/>
        <w:numPr>
          <w:ilvl w:val="1"/>
          <w:numId w:val="292"/>
        </w:numPr>
        <w:rPr/>
      </w:pPr>
      <w:r>
        <w:rPr/>
        <w:t>And that the confidence interval (</w:t>
      </w:r>
      <w:r>
        <w:rPr>
          <w:rStyle w:val="VerbatimChar"/>
        </w:rPr>
        <w:t>0.425</w:t>
      </w:r>
      <w:r>
        <w:rPr/>
        <w:t xml:space="preserve"> – </w:t>
      </w:r>
      <w:r>
        <w:rPr>
          <w:rStyle w:val="VerbatimChar"/>
        </w:rPr>
        <w:t>0.866</w:t>
      </w:r>
      <w:r>
        <w:rPr/>
        <w:t>) for the odds ratio (</w:t>
      </w:r>
      <w:r>
        <w:rPr>
          <w:rStyle w:val="VerbatimChar"/>
        </w:rPr>
        <w:t>0.608</w:t>
      </w:r>
      <w:r>
        <w:rPr/>
        <w:t>) doesn’t overlap 1</w:t>
      </w:r>
      <w:bookmarkEnd w:id="41"/>
    </w:p>
    <w:p>
      <w:pPr>
        <w:pStyle w:val="Heading2"/>
        <w:rPr/>
      </w:pPr>
      <w:bookmarkStart w:id="42" w:name="fishers-exact-test-example-cont."/>
      <w:r>
        <w:rPr/>
        <w:t>Fisher’s Exact Test Example (cont.)</w:t>
      </w:r>
    </w:p>
    <w:p>
      <w:pPr>
        <w:pStyle w:val="Compact"/>
        <w:numPr>
          <w:ilvl w:val="0"/>
          <w:numId w:val="293"/>
        </w:numPr>
        <w:rPr/>
      </w:pPr>
      <w:hyperlink r:id="rId41">
        <w:r>
          <w:rPr>
            <w:rStyle w:val="ListLabel3556"/>
            <w:rFonts w:ascii="Consolas" w:hAnsi="Consolas"/>
            <w:sz w:val="22"/>
          </w:rPr>
          <w:t>fisher.test</w:t>
        </w:r>
      </w:hyperlink>
      <w:r>
        <w:rPr/>
        <w:t xml:space="preserve"> also creates an object</w:t>
      </w:r>
    </w:p>
    <w:p>
      <w:pPr>
        <w:pStyle w:val="Compact"/>
        <w:numPr>
          <w:ilvl w:val="0"/>
          <w:numId w:val="294"/>
        </w:numPr>
        <w:rPr/>
      </w:pPr>
      <w:r>
        <w:rPr/>
        <w:t>And not all elements of that object are automatically printed</w:t>
      </w:r>
    </w:p>
    <w:p>
      <w:pPr>
        <w:pStyle w:val="Compact"/>
        <w:numPr>
          <w:ilvl w:val="0"/>
          <w:numId w:val="295"/>
        </w:numPr>
        <w:rPr/>
      </w:pPr>
      <w:r>
        <w:rPr/>
        <w:t xml:space="preserve">We can look to see what all is there with either the powerful &amp; flexible </w:t>
      </w:r>
      <w:hyperlink r:id="rId42">
        <w:r>
          <w:rPr>
            <w:rStyle w:val="ListLabel3556"/>
            <w:rFonts w:ascii="Consolas" w:hAnsi="Consolas"/>
            <w:sz w:val="22"/>
          </w:rPr>
          <w:t>summary()</w:t>
        </w:r>
      </w:hyperlink>
      <w:r>
        <w:rPr/>
        <w:t xml:space="preserve"> command:</w:t>
      </w:r>
    </w:p>
    <w:p>
      <w:pPr>
        <w:pStyle w:val="SourceCode"/>
        <w:rPr/>
      </w:pPr>
      <w:r>
        <w:rPr>
          <w:rStyle w:val="FunctionTok"/>
        </w:rPr>
        <w:t>summary</w:t>
      </w:r>
      <w:r>
        <w:rPr>
          <w:rStyle w:val="NormalTok"/>
        </w:rPr>
        <w:t>(</w:t>
      </w:r>
      <w:r>
        <w:rPr>
          <w:rStyle w:val="FunctionTok"/>
        </w:rPr>
        <w:t>fisher.test</w:t>
      </w:r>
      <w:r>
        <w:rPr>
          <w:rStyle w:val="NormalTok"/>
        </w:rPr>
        <w:t>(pain.df.counts))</w:t>
      </w:r>
    </w:p>
    <w:p>
      <w:pPr>
        <w:pStyle w:val="SourceCode"/>
        <w:rPr/>
      </w:pPr>
      <w:r>
        <w:rPr>
          <w:rStyle w:val="VerbatimChar"/>
        </w:rPr>
        <w:t xml:space="preserve">##             Length Class  Mode     </w:t>
      </w:r>
      <w:r>
        <w:rPr/>
        <w:br/>
      </w:r>
      <w:r>
        <w:rPr>
          <w:rStyle w:val="VerbatimChar"/>
        </w:rPr>
        <w:t xml:space="preserve">## p.value     1      -none- numeric  </w:t>
      </w:r>
      <w:r>
        <w:rPr/>
        <w:br/>
      </w:r>
      <w:r>
        <w:rPr>
          <w:rStyle w:val="VerbatimChar"/>
        </w:rPr>
        <w:t xml:space="preserve">## conf.int    2      -none- numeric  </w:t>
      </w:r>
      <w:r>
        <w:rPr/>
        <w:br/>
      </w:r>
      <w:r>
        <w:rPr>
          <w:rStyle w:val="VerbatimChar"/>
        </w:rPr>
        <w:t xml:space="preserve">## estimate    1      -none- numeric  </w:t>
      </w:r>
      <w:r>
        <w:rPr/>
        <w:br/>
      </w:r>
      <w:r>
        <w:rPr>
          <w:rStyle w:val="VerbatimChar"/>
        </w:rPr>
        <w:t xml:space="preserve">## null.value  1      -none- numeric  </w:t>
      </w:r>
      <w:r>
        <w:rPr/>
        <w:br/>
      </w:r>
      <w:r>
        <w:rPr>
          <w:rStyle w:val="VerbatimChar"/>
        </w:rPr>
        <w:t>## alternative 1      -none- character</w:t>
      </w:r>
      <w:r>
        <w:rPr/>
        <w:br/>
      </w:r>
      <w:r>
        <w:rPr>
          <w:rStyle w:val="VerbatimChar"/>
        </w:rPr>
        <w:t>## method      1      -none- character</w:t>
      </w:r>
      <w:r>
        <w:rPr/>
        <w:br/>
      </w:r>
      <w:r>
        <w:rPr>
          <w:rStyle w:val="VerbatimChar"/>
        </w:rPr>
        <w:t>## data.name   1      -none- character</w:t>
      </w:r>
      <w:bookmarkEnd w:id="42"/>
    </w:p>
    <w:p>
      <w:pPr>
        <w:pStyle w:val="Heading2"/>
        <w:rPr/>
      </w:pPr>
      <w:bookmarkStart w:id="43" w:name="fishers-exact-test-example-cont.-1"/>
      <w:r>
        <w:rPr/>
        <w:t>Fisher’s Exact Test Example (cont.)</w:t>
      </w:r>
    </w:p>
    <w:p>
      <w:pPr>
        <w:pStyle w:val="Compact"/>
        <w:numPr>
          <w:ilvl w:val="0"/>
          <w:numId w:val="296"/>
        </w:numPr>
        <w:rPr/>
      </w:pPr>
      <w:r>
        <w:rPr/>
        <w:t xml:space="preserve">Or with the more revealing </w:t>
      </w:r>
      <w:hyperlink r:id="rId43">
        <w:r>
          <w:rPr>
            <w:rStyle w:val="ListLabel3556"/>
            <w:rFonts w:ascii="Consolas" w:hAnsi="Consolas"/>
            <w:sz w:val="22"/>
          </w:rPr>
          <w:t>str()</w:t>
        </w:r>
      </w:hyperlink>
      <w:r>
        <w:rPr/>
        <w:t xml:space="preserve"> command:</w:t>
      </w:r>
    </w:p>
    <w:p>
      <w:pPr>
        <w:pStyle w:val="Compact"/>
        <w:numPr>
          <w:ilvl w:val="1"/>
          <w:numId w:val="297"/>
        </w:numPr>
        <w:rPr/>
      </w:pPr>
      <w:r>
        <w:rPr>
          <w:rStyle w:val="VerbatimChar"/>
        </w:rPr>
        <w:t>str()</w:t>
      </w:r>
      <w:r>
        <w:rPr/>
        <w:t xml:space="preserve"> works to “look inside” most any object or function in </w:t>
      </w:r>
      <w:r>
        <w:rPr>
          <w:rStyle w:val="VerbatimChar"/>
        </w:rPr>
        <w:t>R</w:t>
      </w:r>
    </w:p>
    <w:p>
      <w:pPr>
        <w:pStyle w:val="SourceCode"/>
        <w:rPr/>
      </w:pPr>
      <w:r>
        <w:rPr>
          <w:rStyle w:val="FunctionTok"/>
        </w:rPr>
        <w:t>str</w:t>
      </w:r>
      <w:r>
        <w:rPr>
          <w:rStyle w:val="NormalTok"/>
        </w:rPr>
        <w:t>(</w:t>
      </w:r>
      <w:r>
        <w:rPr>
          <w:rStyle w:val="FunctionTok"/>
        </w:rPr>
        <w:t>fisher.test</w:t>
      </w:r>
      <w:r>
        <w:rPr>
          <w:rStyle w:val="NormalTok"/>
        </w:rPr>
        <w:t>(pain.df.counts))</w:t>
      </w:r>
    </w:p>
    <w:p>
      <w:pPr>
        <w:pStyle w:val="SourceCode"/>
        <w:rPr/>
      </w:pPr>
      <w:r>
        <w:rPr>
          <w:rStyle w:val="VerbatimChar"/>
        </w:rPr>
        <w:t>## List of 7</w:t>
      </w:r>
      <w:r>
        <w:rPr/>
        <w:br/>
      </w:r>
      <w:r>
        <w:rPr>
          <w:rStyle w:val="VerbatimChar"/>
        </w:rPr>
        <w:t>##  $ p.value    : num 0.00491</w:t>
      </w:r>
      <w:r>
        <w:rPr/>
        <w:br/>
      </w:r>
      <w:r>
        <w:rPr>
          <w:rStyle w:val="VerbatimChar"/>
        </w:rPr>
        <w:t>##  $ conf.int   : num [1:2] 0.425 0.867</w:t>
      </w:r>
      <w:r>
        <w:rPr/>
        <w:br/>
      </w:r>
      <w:r>
        <w:rPr>
          <w:rStyle w:val="VerbatimChar"/>
        </w:rPr>
        <w:t>##   ..- attr(*, "conf.level")= num 0.95</w:t>
      </w:r>
      <w:r>
        <w:rPr/>
        <w:br/>
      </w:r>
      <w:r>
        <w:rPr>
          <w:rStyle w:val="VerbatimChar"/>
        </w:rPr>
        <w:t>##  $ estimate   : Named num 0.608</w:t>
      </w:r>
      <w:r>
        <w:rPr/>
        <w:br/>
      </w:r>
      <w:r>
        <w:rPr>
          <w:rStyle w:val="VerbatimChar"/>
        </w:rPr>
        <w:t>##   ..- attr(*, "names")= chr "odds ratio"</w:t>
      </w:r>
      <w:r>
        <w:rPr/>
        <w:br/>
      </w:r>
      <w:r>
        <w:rPr>
          <w:rStyle w:val="VerbatimChar"/>
        </w:rPr>
        <w:t>##  $ null.value : Named num 1</w:t>
      </w:r>
      <w:r>
        <w:rPr/>
        <w:br/>
      </w:r>
      <w:r>
        <w:rPr>
          <w:rStyle w:val="VerbatimChar"/>
        </w:rPr>
        <w:t>##   ..- attr(*, "names")= chr "odds ratio"</w:t>
      </w:r>
      <w:r>
        <w:rPr/>
        <w:br/>
      </w:r>
      <w:r>
        <w:rPr>
          <w:rStyle w:val="VerbatimChar"/>
        </w:rPr>
        <w:t>##  $ alternative: chr "two.sided"</w:t>
      </w:r>
      <w:r>
        <w:rPr/>
        <w:br/>
      </w:r>
      <w:r>
        <w:rPr>
          <w:rStyle w:val="VerbatimChar"/>
        </w:rPr>
        <w:t>##  $ method     : chr "Fisher's Exact Test for Count Data"</w:t>
      </w:r>
      <w:r>
        <w:rPr/>
        <w:br/>
      </w:r>
      <w:r>
        <w:rPr>
          <w:rStyle w:val="VerbatimChar"/>
        </w:rPr>
        <w:t>##  $ data.name  : chr "pain.df.counts"</w:t>
      </w:r>
      <w:r>
        <w:rPr/>
        <w:br/>
      </w:r>
      <w:r>
        <w:rPr>
          <w:rStyle w:val="VerbatimChar"/>
        </w:rPr>
        <w:t>##  - attr(*, "class")= chr "htest"</w:t>
      </w:r>
      <w:bookmarkEnd w:id="43"/>
    </w:p>
    <w:p>
      <w:pPr>
        <w:pStyle w:val="Heading2"/>
        <w:rPr/>
      </w:pPr>
      <w:bookmarkStart w:id="44" w:name="fishers-exact-test-example-cont.-2"/>
      <w:r>
        <w:rPr/>
        <w:t>Fisher’s Exact Test Example (cont.)</w:t>
      </w:r>
    </w:p>
    <w:p>
      <w:pPr>
        <w:pStyle w:val="Compact"/>
        <w:numPr>
          <w:ilvl w:val="0"/>
          <w:numId w:val="298"/>
        </w:numPr>
        <w:rPr/>
      </w:pPr>
      <w:r>
        <w:rPr>
          <w:rStyle w:val="VerbatimChar"/>
        </w:rPr>
        <w:t>$</w:t>
      </w:r>
      <w:r>
        <w:rPr/>
        <w:t xml:space="preserve"> can access any of those elements of the </w:t>
      </w:r>
      <w:r>
        <w:rPr>
          <w:rStyle w:val="VerbatimChar"/>
        </w:rPr>
        <w:t>fisher.test</w:t>
      </w:r>
      <w:r>
        <w:rPr/>
        <w:t xml:space="preserve"> object:</w:t>
      </w:r>
    </w:p>
    <w:p>
      <w:pPr>
        <w:pStyle w:val="SourceCode"/>
        <w:rPr/>
      </w:pPr>
      <w:r>
        <w:rPr>
          <w:rStyle w:val="FunctionTok"/>
        </w:rPr>
        <w:t>fisher.test</w:t>
      </w:r>
      <w:r>
        <w:rPr>
          <w:rStyle w:val="NormalTok"/>
        </w:rPr>
        <w:t>(pain.df.counts)</w:t>
      </w:r>
      <w:r>
        <w:rPr>
          <w:rStyle w:val="SpecialCharTok"/>
        </w:rPr>
        <w:t>$</w:t>
      </w:r>
      <w:r>
        <w:rPr>
          <w:rStyle w:val="NormalTok"/>
        </w:rPr>
        <w:t>p.value</w:t>
      </w:r>
    </w:p>
    <w:p>
      <w:pPr>
        <w:pStyle w:val="SourceCode"/>
        <w:rPr/>
      </w:pPr>
      <w:r>
        <w:rPr>
          <w:rStyle w:val="VerbatimChar"/>
        </w:rPr>
        <w:t>## [1] 0.004910079</w:t>
      </w:r>
    </w:p>
    <w:p>
      <w:pPr>
        <w:pStyle w:val="SourceCode"/>
        <w:rPr/>
      </w:pPr>
      <w:r>
        <w:rPr>
          <w:rStyle w:val="FunctionTok"/>
        </w:rPr>
        <w:t>fisher.test</w:t>
      </w:r>
      <w:r>
        <w:rPr>
          <w:rStyle w:val="NormalTok"/>
        </w:rPr>
        <w:t>(pain.df.counts)</w:t>
      </w:r>
      <w:r>
        <w:rPr>
          <w:rStyle w:val="SpecialCharTok"/>
        </w:rPr>
        <w:t>$</w:t>
      </w:r>
      <w:r>
        <w:rPr>
          <w:rStyle w:val="NormalTok"/>
        </w:rPr>
        <w:t>conf.int</w:t>
      </w:r>
    </w:p>
    <w:p>
      <w:pPr>
        <w:pStyle w:val="SourceCode"/>
        <w:rPr/>
      </w:pPr>
      <w:r>
        <w:rPr>
          <w:rStyle w:val="VerbatimChar"/>
        </w:rPr>
        <w:t>## [1] 0.4250886 0.8665430</w:t>
      </w:r>
      <w:r>
        <w:rPr/>
        <w:br/>
      </w:r>
      <w:r>
        <w:rPr>
          <w:rStyle w:val="VerbatimChar"/>
        </w:rPr>
        <w:t>## attr(,"conf.level")</w:t>
      </w:r>
      <w:r>
        <w:rPr/>
        <w:br/>
      </w:r>
      <w:r>
        <w:rPr>
          <w:rStyle w:val="VerbatimChar"/>
        </w:rPr>
        <w:t>## [1] 0.95</w:t>
      </w:r>
      <w:bookmarkEnd w:id="44"/>
    </w:p>
    <w:p>
      <w:pPr>
        <w:pStyle w:val="Heading2"/>
        <w:rPr/>
      </w:pPr>
      <w:r>
        <w:rPr/>
        <w:t>Is Fisher’s Exact Test Too Conservative?</w:t>
      </w:r>
    </w:p>
    <w:p>
      <w:pPr>
        <w:pStyle w:val="Compact"/>
        <w:numPr>
          <w:ilvl w:val="0"/>
          <w:numId w:val="299"/>
        </w:numPr>
        <w:rPr/>
      </w:pPr>
      <w:r>
        <w:rPr/>
        <w:t xml:space="preserve">Fisher himself </w:t>
      </w:r>
      <w:hyperlink r:id="rId44">
        <w:r>
          <w:rPr>
            <w:rStyle w:val="Hyperlink"/>
          </w:rPr>
          <w:t>sure</w:t>
        </w:r>
      </w:hyperlink>
      <w:r>
        <w:rPr/>
        <w:t xml:space="preserve"> </w:t>
      </w:r>
      <w:hyperlink r:id="rId45">
        <w:r>
          <w:rPr>
            <w:rStyle w:val="Hyperlink"/>
          </w:rPr>
          <w:t>was</w:t>
        </w:r>
      </w:hyperlink>
    </w:p>
    <w:p>
      <w:pPr>
        <w:pStyle w:val="Compact"/>
        <w:numPr>
          <w:ilvl w:val="0"/>
          <w:numId w:val="300"/>
        </w:numPr>
        <w:rPr/>
      </w:pPr>
      <w:r>
        <w:rPr/>
        <w:t xml:space="preserve">Fisher’s exact test can mis-estimate </w:t>
      </w:r>
      <w:r>
        <w:rPr>
          <w:i/>
          <w:iCs/>
        </w:rPr>
        <w:t>p</w:t>
      </w:r>
      <w:r>
        <w:rPr/>
        <w:t xml:space="preserve">-values when the total </w:t>
      </w:r>
      <w:r>
        <w:rPr>
          <w:i/>
          <w:iCs/>
        </w:rPr>
        <w:t>N</w:t>
      </w:r>
      <w:r>
        <w:rPr/>
        <w:t xml:space="preserve"> is “small” (&lt;50; Andrés &amp; Tejedor, </w:t>
      </w:r>
      <w:hyperlink r:id="rId46">
        <w:r>
          <w:rPr>
            <w:rStyle w:val="Hyperlink"/>
          </w:rPr>
          <w:t>1995</w:t>
        </w:r>
      </w:hyperlink>
      <w:r>
        <w:rPr/>
        <w:t>)</w:t>
      </w:r>
    </w:p>
    <w:p>
      <w:pPr>
        <w:pStyle w:val="Compact"/>
        <w:numPr>
          <w:ilvl w:val="1"/>
          <w:numId w:val="301"/>
        </w:numPr>
        <w:rPr/>
      </w:pPr>
      <w:r>
        <w:rPr/>
        <w:t>But this bias itself is usually small</w:t>
      </w:r>
    </w:p>
    <w:p>
      <w:pPr>
        <w:pStyle w:val="Compact"/>
        <w:numPr>
          <w:ilvl w:val="1"/>
          <w:numId w:val="302"/>
        </w:numPr>
        <w:rPr/>
      </w:pPr>
      <w:r>
        <w:rPr/>
        <w:t xml:space="preserve">And common corrections (e.g., </w:t>
      </w:r>
      <w:hyperlink r:id="rId47">
        <w:r>
          <w:rPr>
            <w:rStyle w:val="Hyperlink"/>
          </w:rPr>
          <w:t>Yate’s correction</w:t>
        </w:r>
      </w:hyperlink>
      <w:r>
        <w:rPr/>
        <w:t xml:space="preserve">) don’t change outcomes much (Crans &amp; Shuster, </w:t>
      </w:r>
      <w:hyperlink r:id="rId48">
        <w:r>
          <w:rPr>
            <w:rStyle w:val="Hyperlink"/>
          </w:rPr>
          <w:t>2008</w:t>
        </w:r>
      </w:hyperlink>
      <w:r>
        <w:rPr/>
        <w:t>)</w:t>
      </w:r>
    </w:p>
    <w:p>
      <w:pPr>
        <w:pStyle w:val="Compact"/>
        <w:numPr>
          <w:ilvl w:val="2"/>
          <w:numId w:val="303"/>
        </w:numPr>
        <w:rPr/>
      </w:pPr>
      <w:bookmarkStart w:id="45" w:name="is-fishers-exact-test-too-conservative"/>
      <w:r>
        <w:rPr/>
        <w:t>While making for somewhat more complicated analyses that rely on parametric assumptions</w:t>
      </w:r>
      <w:bookmarkEnd w:id="45"/>
    </w:p>
    <w:p>
      <w:pPr>
        <w:pStyle w:val="Heading2"/>
        <w:rPr/>
      </w:pPr>
      <w:bookmarkStart w:id="46" w:name="upton-1992"/>
      <w:r>
        <w:rPr/>
        <w:t>Upton (1992)</w:t>
      </w:r>
    </w:p>
    <w:p>
      <w:pPr>
        <w:pStyle w:val="Compact"/>
        <w:numPr>
          <w:ilvl w:val="0"/>
          <w:numId w:val="304"/>
        </w:numPr>
        <w:rPr/>
      </w:pPr>
      <w:r>
        <w:rPr/>
        <w:t>Upton (</w:t>
      </w:r>
      <w:hyperlink r:id="rId49">
        <w:r>
          <w:rPr>
            <w:rStyle w:val="Hyperlink"/>
          </w:rPr>
          <w:t>1992</w:t>
        </w:r>
      </w:hyperlink>
      <w:r>
        <w:rPr/>
        <w:t>) argues that Fisher’s exact test is not too conservative</w:t>
      </w:r>
    </w:p>
    <w:p>
      <w:pPr>
        <w:pStyle w:val="Compact"/>
        <w:numPr>
          <w:ilvl w:val="1"/>
          <w:numId w:val="305"/>
        </w:numPr>
        <w:rPr/>
      </w:pPr>
      <w:r>
        <w:rPr/>
        <w:t>Trouble comes because counts are discrete</w:t>
      </w:r>
    </w:p>
    <w:p>
      <w:pPr>
        <w:pStyle w:val="Compact"/>
        <w:numPr>
          <w:ilvl w:val="2"/>
          <w:numId w:val="306"/>
        </w:numPr>
        <w:rPr/>
      </w:pPr>
      <w:r>
        <w:rPr/>
        <w:t xml:space="preserve">While </w:t>
      </w:r>
      <w:r>
        <w:rPr>
          <w:i/>
          <w:iCs/>
        </w:rPr>
        <w:t>p</w:t>
      </w:r>
      <w:r>
        <w:rPr/>
        <w:t>-values assume the data are continuous</w:t>
      </w:r>
    </w:p>
    <w:p>
      <w:pPr>
        <w:pStyle w:val="Compact"/>
        <w:numPr>
          <w:ilvl w:val="0"/>
          <w:numId w:val="307"/>
        </w:numPr>
        <w:rPr/>
      </w:pPr>
      <w:r>
        <w:rPr/>
        <w:t>Also discusses how it can be hard to test this when something comes close to always (or never) happening</w:t>
      </w:r>
    </w:p>
    <w:p>
      <w:pPr>
        <w:pStyle w:val="Compact"/>
        <w:numPr>
          <w:ilvl w:val="1"/>
          <w:numId w:val="308"/>
        </w:numPr>
        <w:rPr/>
      </w:pPr>
      <w:r>
        <w:rPr/>
        <w:t>Essentially, cell counts that are zero (or close to it) can be problematic</w:t>
      </w:r>
    </w:p>
    <w:p>
      <w:pPr>
        <w:pStyle w:val="Compact"/>
        <w:numPr>
          <w:ilvl w:val="0"/>
          <w:numId w:val="309"/>
        </w:numPr>
        <w:rPr/>
      </w:pPr>
      <w:r>
        <w:rPr/>
        <w:t xml:space="preserve">And that small cell counts can push a </w:t>
      </w:r>
      <w:r>
        <w:rPr>
          <w:i/>
          <w:iCs/>
        </w:rPr>
        <w:t>p</w:t>
      </w:r>
      <w:r>
        <w:rPr/>
        <w:t>-value to be larger than .05</w:t>
      </w:r>
    </w:p>
    <w:p>
      <w:pPr>
        <w:pStyle w:val="Compact"/>
        <w:numPr>
          <w:ilvl w:val="1"/>
          <w:numId w:val="310"/>
        </w:numPr>
        <w:rPr/>
      </w:pPr>
      <w:r>
        <w:rPr/>
        <w:t xml:space="preserve">See Upton’s discussion of </w:t>
      </w:r>
      <w:r>
        <w:fldChar w:fldCharType="begin"/>
      </w:r>
      <w:r>
        <w:rPr>
          <w:rStyle w:val="Hyperlink"/>
        </w:rPr>
        <w:instrText xml:space="preserve"> HYPERLINK "https://articles.viriya.net/Graham-Fishers_Exact_Test.pdf" \l "page=4"</w:instrText>
      </w:r>
      <w:r>
        <w:rPr>
          <w:rStyle w:val="Hyperlink"/>
        </w:rPr>
        <w:fldChar w:fldCharType="separate"/>
      </w:r>
      <w:r>
        <w:rPr>
          <w:rStyle w:val="Hyperlink"/>
        </w:rPr>
        <w:t>Table 2</w:t>
      </w:r>
      <w:r>
        <w:rPr>
          <w:rStyle w:val="Hyperlink"/>
        </w:rPr>
        <w:fldChar w:fldCharType="end"/>
      </w:r>
      <w:r>
        <w:rPr/>
        <w:t xml:space="preserve"> where the real rejection value ranged from .015 – .080</w:t>
      </w:r>
      <w:bookmarkEnd w:id="46"/>
    </w:p>
    <w:p>
      <w:pPr>
        <w:pStyle w:val="Heading2"/>
        <w:rPr/>
      </w:pPr>
      <w:bookmarkStart w:id="47" w:name="upton-1992-cont."/>
      <w:r>
        <w:rPr/>
        <w:t>Upton (1992, cont.)</w:t>
      </w:r>
    </w:p>
    <w:p>
      <w:pPr>
        <w:pStyle w:val="Compact"/>
        <w:numPr>
          <w:ilvl w:val="0"/>
          <w:numId w:val="311"/>
        </w:numPr>
        <w:rPr/>
      </w:pPr>
      <w:r>
        <w:rPr/>
        <w:t>Also notes—correctly—that significance is largely determined by sample size</w:t>
      </w:r>
    </w:p>
    <w:p>
      <w:pPr>
        <w:pStyle w:val="Compact"/>
        <w:numPr>
          <w:ilvl w:val="1"/>
          <w:numId w:val="312"/>
        </w:numPr>
        <w:rPr/>
      </w:pPr>
      <w:r>
        <w:rPr/>
        <w:t xml:space="preserve">Some argue for making α </w:t>
      </w:r>
      <w:r>
        <w:rPr>
          <w:i/>
          <w:iCs/>
        </w:rPr>
        <w:t>smaller</w:t>
      </w:r>
      <w:r>
        <w:rPr/>
        <w:t xml:space="preserve"> as samples get larger</w:t>
      </w:r>
    </w:p>
    <w:p>
      <w:pPr>
        <w:pStyle w:val="Compact"/>
        <w:numPr>
          <w:ilvl w:val="1"/>
          <w:numId w:val="313"/>
        </w:numPr>
        <w:rPr/>
      </w:pPr>
      <w:r>
        <w:rPr/>
        <w:t>Can add confidence intervals (CIs) to the concomitant OR</w:t>
      </w:r>
    </w:p>
    <w:p>
      <w:pPr>
        <w:pStyle w:val="Compact"/>
        <w:numPr>
          <w:ilvl w:val="2"/>
          <w:numId w:val="314"/>
        </w:numPr>
        <w:rPr/>
      </w:pPr>
      <w:r>
        <w:rPr/>
        <w:t xml:space="preserve">(And perhaps </w:t>
      </w:r>
      <w:r>
        <w:rPr>
          <w:i/>
          <w:iCs/>
        </w:rPr>
        <w:t>p</w:t>
      </w:r>
      <w:r>
        <w:rPr/>
        <w:t>-values for the ORs at the CI limits)</w:t>
      </w:r>
    </w:p>
    <w:p>
      <w:pPr>
        <w:pStyle w:val="Compact"/>
        <w:numPr>
          <w:ilvl w:val="1"/>
          <w:numId w:val="315"/>
        </w:numPr>
        <w:rPr/>
      </w:pPr>
      <w:r>
        <w:rPr/>
        <w:t xml:space="preserve">Or even use </w:t>
      </w:r>
      <w:hyperlink r:id="rId50">
        <w:r>
          <w:rPr>
            <w:rStyle w:val="Hyperlink"/>
          </w:rPr>
          <w:t>Bayesian inferences</w:t>
        </w:r>
      </w:hyperlink>
    </w:p>
    <w:p>
      <w:pPr>
        <w:pStyle w:val="Compact"/>
        <w:numPr>
          <w:ilvl w:val="0"/>
          <w:numId w:val="316"/>
        </w:numPr>
        <w:rPr/>
      </w:pPr>
      <w:r>
        <w:rPr/>
        <w:t>Discussed “practical significance”</w:t>
      </w:r>
    </w:p>
    <w:p>
      <w:pPr>
        <w:pStyle w:val="Compact"/>
        <w:numPr>
          <w:ilvl w:val="1"/>
          <w:numId w:val="317"/>
        </w:numPr>
        <w:rPr/>
      </w:pPr>
      <w:r>
        <w:rPr/>
        <w:t>I.e., how important it is to not have false positives for a given real-world situation</w:t>
      </w:r>
    </w:p>
    <w:p>
      <w:pPr>
        <w:pStyle w:val="Compact"/>
        <w:numPr>
          <w:ilvl w:val="1"/>
          <w:numId w:val="318"/>
        </w:numPr>
        <w:rPr/>
      </w:pPr>
      <w:r>
        <w:rPr/>
        <w:t>“</w:t>
      </w:r>
      <w:r>
        <w:rPr/>
        <w:t>The experimenter must keep in mind that significance at the 5% level will only coincide with practical significance by chance!” (p. </w:t>
      </w:r>
      <w:r>
        <w:fldChar w:fldCharType="begin"/>
      </w:r>
      <w:r>
        <w:rPr>
          <w:rStyle w:val="Hyperlink"/>
        </w:rPr>
        <w:instrText xml:space="preserve"> HYPERLINK "https://articles.viriya.net/Graham-Fishers_Exact_Test.pdf" \l "page=4"</w:instrText>
      </w:r>
      <w:r>
        <w:rPr>
          <w:rStyle w:val="Hyperlink"/>
        </w:rPr>
        <w:fldChar w:fldCharType="separate"/>
      </w:r>
      <w:r>
        <w:rPr>
          <w:rStyle w:val="Hyperlink"/>
        </w:rPr>
        <w:t>397</w:t>
      </w:r>
      <w:r>
        <w:rPr>
          <w:rStyle w:val="Hyperlink"/>
        </w:rPr>
        <w:fldChar w:fldCharType="end"/>
      </w:r>
      <w:r>
        <w:rPr/>
        <w:t>)</w:t>
      </w:r>
      <w:bookmarkEnd w:id="37"/>
      <w:bookmarkEnd w:id="47"/>
    </w:p>
    <w:p>
      <w:pPr>
        <w:pStyle w:val="Heading1"/>
        <w:rPr/>
      </w:pPr>
      <w:r>
        <w:rPr/>
        <w:t>The Normal Distribution</w:t>
      </w:r>
    </w:p>
    <w:p>
      <w:pPr>
        <w:pStyle w:val="Heading2"/>
        <w:rPr/>
      </w:pPr>
      <w:r>
        <w:rPr/>
        <w:t>Normal Distribution</w:t>
      </w:r>
    </w:p>
    <w:p>
      <w:pPr>
        <w:pStyle w:val="FirstParagraph"/>
        <w:rPr/>
      </w:pPr>
      <w:r>
        <w:rPr/>
        <w:t>Formula for a normal distribution:</w:t>
      </w:r>
    </w:p>
    <w:p>
      <w:pPr>
        <w:pStyle w:val="BodyText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f</m:t>
          </m:r>
          <m:r>
            <w:rPr>
              <w:rFonts w:ascii="Cambria Math" w:hAnsi="Cambria Math"/>
            </w:rPr>
            <m:t xml:space="preserve">(</m:t>
          </m:r>
          <m:r>
            <w:rPr>
              <w:rFonts w:ascii="Cambria Math" w:hAnsi="Cambria Math"/>
            </w:rPr>
            <m:t xml:space="preserve">x</m:t>
          </m:r>
          <m:r>
            <w:rPr>
              <w:rFonts w:ascii="Cambria Math" w:hAnsi="Cambria Math"/>
            </w:rPr>
            <m:t xml:space="preserve">,</m:t>
          </m:r>
          <m:r>
            <w:rPr>
              <w:rFonts w:ascii="Cambria Math" w:hAnsi="Cambria Math"/>
            </w:rPr>
            <m:t xml:space="preserve">μ</m:t>
          </m:r>
          <m:r>
            <w:rPr>
              <w:rFonts w:ascii="Cambria Math" w:hAnsi="Cambria Math"/>
            </w:rPr>
            <m:t xml:space="preserve">,</m:t>
          </m:r>
          <m:r>
            <w:rPr>
              <w:rFonts w:ascii="Cambria Math" w:hAnsi="Cambria Math"/>
            </w:rPr>
            <m:t xml:space="preserve">σ</m:t>
          </m:r>
          <m:r>
            <w:rPr>
              <w:rFonts w:ascii="Cambria Math" w:hAnsi="Cambria Math"/>
            </w:rPr>
            <m:t xml:space="preserve">)</m:t>
          </m:r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1</m:t>
              </m:r>
            </m:num>
            <m:den>
              <m:r>
                <w:rPr>
                  <w:rFonts w:ascii="Cambria Math" w:hAnsi="Cambria Math"/>
                </w:rPr>
                <m:t xml:space="preserve">σ</m:t>
              </m:r>
              <m:rad>
                <m:radPr>
                  <m:degHide m:val="1"/>
                </m:radPr>
                <m:deg/>
                <m:e>
                  <m:r>
                    <w:rPr>
                      <w:rFonts w:ascii="Cambria Math" w:hAnsi="Cambria Math"/>
                    </w:rPr>
                    <m:t xml:space="preserve">2</m:t>
                  </m:r>
                  <m:r>
                    <w:rPr>
                      <w:rFonts w:ascii="Cambria Math" w:hAnsi="Cambria Math"/>
                    </w:rPr>
                    <m:t xml:space="preserve">π</m:t>
                  </m:r>
                </m:e>
              </m:rad>
            </m:den>
          </m:f>
          <m:sSup>
            <m:e>
              <m:r>
                <w:rPr>
                  <w:rFonts w:ascii="Cambria Math" w:hAnsi="Cambria Math"/>
                </w:rPr>
                <m:t xml:space="preserve">e</m:t>
              </m:r>
            </m:e>
            <m:sup>
              <m:f>
                <m:num>
                  <m:r>
                    <w:rPr>
                      <w:rFonts w:ascii="Cambria Math" w:hAnsi="Cambria Math"/>
                    </w:rPr>
                    <m:t xml:space="preserve">−</m:t>
                  </m:r>
                  <m:r>
                    <w:rPr>
                      <w:rFonts w:ascii="Cambria Math" w:hAnsi="Cambria Math"/>
                    </w:rPr>
                    <m:t xml:space="preserve">(</m:t>
                  </m:r>
                  <m:r>
                    <w:rPr>
                      <w:rFonts w:ascii="Cambria Math" w:hAnsi="Cambria Math"/>
                    </w:rPr>
                    <m:t xml:space="preserve">x</m:t>
                  </m:r>
                  <m:r>
                    <w:rPr>
                      <w:rFonts w:ascii="Cambria Math" w:hAnsi="Cambria Math"/>
                    </w:rPr>
                    <m:t xml:space="preserve">−</m:t>
                  </m:r>
                  <m:r>
                    <w:rPr>
                      <w:rFonts w:ascii="Cambria Math" w:hAnsi="Cambria Math"/>
                    </w:rPr>
                    <m:t xml:space="preserve">μ</m:t>
                  </m:r>
                  <m:sSup>
                    <m:e>
                      <m:r>
                        <w:rPr>
                          <w:rFonts w:ascii="Cambria Math" w:hAnsi="Cambria Math"/>
                        </w:rPr>
                        <m:t xml:space="preserve"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 xml:space="preserve">2</m:t>
                  </m:r>
                  <m:sSup>
                    <m:e>
                      <m:r>
                        <w:rPr>
                          <w:rFonts w:ascii="Cambria Math" w:hAnsi="Cambria Math"/>
                        </w:rPr>
                        <m:t xml:space="preserve">σ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sup>
                  </m:sSup>
                </m:den>
              </m:f>
            </m:sup>
          </m:sSup>
        </m:oMath>
      </m:oMathPara>
    </w:p>
    <w:p>
      <w:pPr>
        <w:pStyle w:val="Compact"/>
        <w:numPr>
          <w:ilvl w:val="0"/>
          <w:numId w:val="319"/>
        </w:numPr>
        <w:rPr/>
      </w:pPr>
      <w:r>
        <w:rPr>
          <w:i/>
          <w:iCs/>
        </w:rPr>
        <w:t>x</w:t>
      </w:r>
      <w:r>
        <w:rPr/>
        <w:t xml:space="preserve"> is some random variable</w:t>
      </w:r>
    </w:p>
    <w:p>
      <w:pPr>
        <w:pStyle w:val="Compact"/>
        <w:numPr>
          <w:ilvl w:val="0"/>
          <w:numId w:val="320"/>
        </w:numPr>
        <w:rPr/>
      </w:pPr>
      <w:r>
        <w:rPr/>
        <w:t>μ is the mean</w:t>
      </w:r>
    </w:p>
    <w:p>
      <w:pPr>
        <w:pStyle w:val="Compact"/>
        <w:numPr>
          <w:ilvl w:val="0"/>
          <w:numId w:val="321"/>
        </w:numPr>
        <w:rPr/>
      </w:pPr>
      <w:r>
        <w:rPr/>
        <w:t>σ is the standard deviation</w:t>
      </w:r>
    </w:p>
    <w:p>
      <w:pPr>
        <w:pStyle w:val="Compact"/>
        <w:numPr>
          <w:ilvl w:val="0"/>
          <w:numId w:val="322"/>
        </w:numPr>
        <w:rPr/>
      </w:pPr>
      <w:bookmarkStart w:id="48" w:name="normal-distribution"/>
      <w:r>
        <w:rPr/>
        <w:t>There, now you can say you learned this</w:t>
      </w:r>
      <w:bookmarkEnd w:id="48"/>
    </w:p>
    <w:p>
      <w:pPr>
        <w:pStyle w:val="Heading2"/>
        <w:rPr/>
      </w:pPr>
      <w:bookmarkStart w:id="49" w:name="characteristics"/>
      <w:bookmarkEnd w:id="49"/>
      <w:r>
        <w:rPr/>
        <w:t>Characteristics</w:t>
      </w:r>
    </w:p>
    <w:p>
      <w:pPr>
        <w:pStyle w:val="FirstParagraph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5943600" cy="3498850"/>
            <wp:effectExtent l="0" t="0" r="0" b="0"/>
            <wp:wrapSquare wrapText="largest"/>
            <wp:docPr id="6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characteristics_Copy_1"/>
      <w:bookmarkStart w:id="51" w:name="characteristics_Copy_1"/>
      <w:bookmarkEnd w:id="51"/>
    </w:p>
    <w:p>
      <w:pPr>
        <w:pStyle w:val="Heading2"/>
        <w:rPr/>
      </w:pPr>
      <w:bookmarkStart w:id="52" w:name="characteristics-cont."/>
      <w:bookmarkEnd w:id="52"/>
      <w:r>
        <w:rPr/>
        <w:t>Characteristics (cont.)</w:t>
      </w:r>
    </w:p>
    <w:p>
      <w:pPr>
        <w:pStyle w:val="Compact"/>
        <w:numPr>
          <w:ilvl w:val="0"/>
          <w:numId w:val="323"/>
        </w:numPr>
        <w:rPr/>
      </w:pPr>
      <w:r>
        <w:rPr/>
        <w:t>Most importantly, it is only a function of the mean &amp; standard deviation</w:t>
      </w:r>
    </w:p>
    <w:p>
      <w:pPr>
        <w:pStyle w:val="Compact"/>
        <w:numPr>
          <w:ilvl w:val="0"/>
          <w:numId w:val="324"/>
        </w:numPr>
        <w:rPr/>
      </w:pPr>
      <w:r>
        <w:rPr/>
        <w:t>The mean, median and mode are all equal</w:t>
      </w:r>
    </w:p>
    <w:p>
      <w:pPr>
        <w:pStyle w:val="Compact"/>
        <w:numPr>
          <w:ilvl w:val="0"/>
          <w:numId w:val="325"/>
        </w:numPr>
        <w:rPr/>
      </w:pPr>
      <w:r>
        <w:rPr/>
        <w:t>The total area under the curve equals 1</w:t>
      </w:r>
    </w:p>
    <w:p>
      <w:pPr>
        <w:pStyle w:val="Compact"/>
        <w:numPr>
          <w:ilvl w:val="0"/>
          <w:numId w:val="326"/>
        </w:numPr>
        <w:rPr/>
      </w:pPr>
      <w:r>
        <w:rPr/>
        <w:t>It’s symmetric</w:t>
      </w:r>
    </w:p>
    <w:p>
      <w:pPr>
        <w:pStyle w:val="Compact"/>
        <w:numPr>
          <w:ilvl w:val="0"/>
          <w:numId w:val="327"/>
        </w:numPr>
        <w:rPr/>
      </w:pPr>
      <w:r>
        <w:rPr/>
        <w:t xml:space="preserve">The curve approaches—but never touches—the </w:t>
      </w:r>
      <w:r>
        <w:rPr>
          <w:i/>
          <w:iCs/>
        </w:rPr>
        <w:t>x</w:t>
      </w:r>
      <w:r>
        <w:rPr/>
        <w:t>-axis</w:t>
      </w:r>
    </w:p>
    <w:p>
      <w:pPr>
        <w:pStyle w:val="FirstParagraph"/>
        <w:rPr/>
      </w:pPr>
      <w:r>
        <w:rPr/>
      </w:r>
      <w:bookmarkStart w:id="53" w:name="characteristics-cont._Copy_1"/>
      <w:bookmarkStart w:id="54" w:name="characteristics-cont._Copy_1"/>
      <w:bookmarkEnd w:id="54"/>
    </w:p>
    <w:p>
      <w:pPr>
        <w:pStyle w:val="Heading2"/>
        <w:rPr/>
      </w:pPr>
      <w:r>
        <w:rPr/>
        <w:t>Q-Q Plots</w:t>
      </w:r>
    </w:p>
    <w:p>
      <w:pPr>
        <w:pStyle w:val="Compact"/>
        <w:numPr>
          <w:ilvl w:val="0"/>
          <w:numId w:val="328"/>
        </w:numPr>
        <w:rPr/>
      </w:pPr>
      <w:r>
        <w:rPr/>
        <w:t>“</w:t>
      </w:r>
      <w:r>
        <w:rPr/>
        <w:t>Quantile-quantile” plots</w:t>
      </w:r>
    </w:p>
    <w:p>
      <w:pPr>
        <w:pStyle w:val="Compact"/>
        <w:numPr>
          <w:ilvl w:val="1"/>
          <w:numId w:val="329"/>
        </w:numPr>
        <w:rPr/>
      </w:pPr>
      <w:r>
        <w:rPr/>
        <w:t>Compare the position in the distribution of a given quantity against the position of the same quantity in an other (e.g., normal) distribution</w:t>
      </w:r>
    </w:p>
    <w:p>
      <w:pPr>
        <w:pStyle w:val="Compact"/>
        <w:numPr>
          <w:ilvl w:val="0"/>
          <w:numId w:val="330"/>
        </w:numPr>
        <w:rPr/>
      </w:pPr>
      <w:r>
        <w:rPr/>
        <w:t>More simply, how &amp; where two distributions deviate from each other</w:t>
      </w:r>
    </w:p>
    <w:p>
      <w:pPr>
        <w:pStyle w:val="Compact"/>
        <w:numPr>
          <w:ilvl w:val="0"/>
          <w:numId w:val="331"/>
        </w:numPr>
        <w:rPr/>
      </w:pPr>
      <w:r>
        <w:rPr/>
        <w:t>Frequently used to test if &amp; how a sample deviates from normality</w:t>
      </w:r>
    </w:p>
    <w:p>
      <w:pPr>
        <w:pStyle w:val="Compact"/>
        <w:numPr>
          <w:ilvl w:val="1"/>
          <w:numId w:val="332"/>
        </w:numPr>
        <w:rPr/>
      </w:pPr>
      <w:r>
        <w:rPr/>
        <w:t xml:space="preserve">Or how </w:t>
      </w:r>
      <w:r>
        <w:rPr>
          <w:b/>
          <w:bCs/>
        </w:rPr>
        <w:t>residuals</w:t>
      </w:r>
      <w:r>
        <w:rPr/>
        <w:t xml:space="preserve"> deviate from normality</w:t>
      </w:r>
    </w:p>
    <w:p>
      <w:pPr>
        <w:pStyle w:val="Compact"/>
        <w:numPr>
          <w:ilvl w:val="0"/>
          <w:numId w:val="333"/>
        </w:numPr>
        <w:rPr/>
      </w:pPr>
      <w:r>
        <w:rPr/>
        <w:t xml:space="preserve">They’re easily created in </w:t>
      </w:r>
      <w:hyperlink r:id="rId52">
        <w:r>
          <w:rPr>
            <w:rStyle w:val="Hyperlink"/>
          </w:rPr>
          <w:t>SPSS</w:t>
        </w:r>
      </w:hyperlink>
      <w:r>
        <w:rPr/>
        <w:t xml:space="preserve"> or </w:t>
      </w:r>
      <w:hyperlink r:id="rId53">
        <w:r>
          <w:rPr>
            <w:rStyle w:val="Hyperlink"/>
          </w:rPr>
          <w:t>R</w:t>
        </w:r>
      </w:hyperlink>
    </w:p>
    <w:p>
      <w:pPr>
        <w:pStyle w:val="Compact"/>
        <w:numPr>
          <w:ilvl w:val="1"/>
          <w:numId w:val="334"/>
        </w:numPr>
        <w:rPr/>
      </w:pPr>
      <w:r>
        <w:rPr/>
        <w:t xml:space="preserve">They can be done—less easily—in </w:t>
      </w:r>
      <w:hyperlink r:id="rId54">
        <w:r>
          <w:rPr>
            <w:rStyle w:val="Hyperlink"/>
          </w:rPr>
          <w:t>Excel, etc</w:t>
        </w:r>
      </w:hyperlink>
    </w:p>
    <w:p>
      <w:pPr>
        <w:pStyle w:val="Compact"/>
        <w:numPr>
          <w:ilvl w:val="0"/>
          <w:numId w:val="335"/>
        </w:numPr>
        <w:rPr/>
      </w:pPr>
      <w:bookmarkStart w:id="55" w:name="q-q-plots"/>
      <w:r>
        <w:rPr/>
        <w:t>And a few examples may help understand them…</w:t>
      </w:r>
      <w:bookmarkEnd w:id="55"/>
    </w:p>
    <w:p>
      <w:pPr>
        <w:pStyle w:val="Heading2"/>
        <w:rPr/>
      </w:pPr>
      <w:r>
        <w:rPr/>
        <w:t>Normally-Distributed</w:t>
      </w:r>
    </w:p>
    <w:p>
      <w:pPr>
        <w:pStyle w:val="FirstParagraph"/>
        <w:rPr/>
      </w:pPr>
      <w:bookmarkStart w:id="56" w:name="normally-distributed"/>
      <w:r>
        <w:rPr/>
        <w:drawing>
          <wp:inline distT="0" distB="0" distL="0" distR="0">
            <wp:extent cx="5334000" cy="3429000"/>
            <wp:effectExtent l="0" t="0" r="0" b="0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6"/>
    </w:p>
    <w:p>
      <w:pPr>
        <w:pStyle w:val="Heading2"/>
        <w:rPr/>
      </w:pPr>
      <w:r>
        <w:rPr/>
        <w:t xml:space="preserve">Short Tails (Looks like an </w:t>
      </w:r>
      <w:r>
        <w:rPr>
          <w:i/>
          <w:iCs/>
        </w:rPr>
        <w:t>S</w:t>
      </w:r>
      <w:r>
        <w:rPr/>
        <w:t xml:space="preserve"> )</w:t>
      </w:r>
    </w:p>
    <w:p>
      <w:pPr>
        <w:pStyle w:val="FirstParagraph"/>
        <w:rPr/>
      </w:pPr>
      <w:bookmarkStart w:id="57" w:name="short-tails-looks-like-an-s"/>
      <w:r>
        <w:rPr/>
        <w:drawing>
          <wp:inline distT="0" distB="0" distL="0" distR="0">
            <wp:extent cx="5334000" cy="3429000"/>
            <wp:effectExtent l="0" t="0" r="0" b="0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7"/>
    </w:p>
    <w:p>
      <w:pPr>
        <w:pStyle w:val="Heading2"/>
        <w:rPr/>
      </w:pPr>
      <w:r>
        <w:rPr/>
        <w:t>Long Tails {.flexbox .vcenter}</w:t>
      </w:r>
    </w:p>
    <w:p>
      <w:pPr>
        <w:pStyle w:val="FirstParagraph"/>
        <w:rPr/>
      </w:pPr>
      <w:bookmarkStart w:id="58" w:name="long-tails-.flexbox-.vcenter"/>
      <w:r>
        <w:rPr/>
        <w:drawing>
          <wp:inline distT="0" distB="0" distL="0" distR="0">
            <wp:extent cx="5334000" cy="3429000"/>
            <wp:effectExtent l="0" t="0" r="0" b="0"/>
            <wp:docPr id="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8"/>
    </w:p>
    <w:p>
      <w:pPr>
        <w:pStyle w:val="Heading2"/>
        <w:rPr/>
      </w:pPr>
      <w:r>
        <w:rPr/>
        <w:t>Long Right Tail (Positive Skew)</w:t>
      </w:r>
    </w:p>
    <w:p>
      <w:pPr>
        <w:pStyle w:val="FirstParagraph"/>
        <w:rPr/>
      </w:pPr>
      <w:bookmarkStart w:id="59" w:name="long-right-tail-positive-skew"/>
      <w:r>
        <w:rPr/>
        <w:drawing>
          <wp:inline distT="0" distB="0" distL="0" distR="0">
            <wp:extent cx="5334000" cy="3429000"/>
            <wp:effectExtent l="0" t="0" r="0" b="0"/>
            <wp:docPr id="1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9"/>
    </w:p>
    <w:p>
      <w:pPr>
        <w:pStyle w:val="Heading2"/>
        <w:rPr/>
      </w:pPr>
      <w:r>
        <w:rPr/>
        <w:t>Long Left Tail (Negative Skew)</w:t>
      </w:r>
    </w:p>
    <w:p>
      <w:pPr>
        <w:pStyle w:val="FirstParagraph"/>
        <w:rPr/>
      </w:pPr>
      <w:bookmarkStart w:id="60" w:name="long-left-tail-negative-skew"/>
      <w:r>
        <w:rPr/>
        <w:drawing>
          <wp:inline distT="0" distB="0" distL="0" distR="0">
            <wp:extent cx="5334000" cy="3429000"/>
            <wp:effectExtent l="0" t="0" r="0" b="0"/>
            <wp:docPr id="1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0"/>
    </w:p>
    <w:p>
      <w:pPr>
        <w:pStyle w:val="Heading2"/>
        <w:rPr/>
      </w:pPr>
      <w:r>
        <w:rPr/>
        <w:t>More Figures, More Views on Skew</w:t>
      </w:r>
    </w:p>
    <w:p>
      <w:pPr>
        <w:pStyle w:val="FirstParagraph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742950</wp:posOffset>
            </wp:positionH>
            <wp:positionV relativeFrom="paragraph">
              <wp:posOffset>240030</wp:posOffset>
            </wp:positionV>
            <wp:extent cx="4457700" cy="5114925"/>
            <wp:effectExtent l="0" t="0" r="0" b="0"/>
            <wp:wrapTopAndBottom/>
            <wp:docPr id="1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/>
      </w:pPr>
      <w:bookmarkStart w:id="61" w:name="more-figures-more-views-on-skew"/>
      <w:r>
        <w:rPr/>
        <w:t>From StackExchange</w:t>
      </w:r>
      <w:bookmarkEnd w:id="61"/>
    </w:p>
    <w:p>
      <w:pPr>
        <w:pStyle w:val="Heading2"/>
        <w:rPr/>
      </w:pPr>
      <w:r>
        <w:rPr/>
        <w:t>Q-Q Plots (cont.)</w:t>
      </w:r>
    </w:p>
    <w:p>
      <w:pPr>
        <w:pStyle w:val="Compact"/>
        <w:numPr>
          <w:ilvl w:val="0"/>
          <w:numId w:val="336"/>
        </w:numPr>
        <w:rPr/>
      </w:pPr>
      <w:r>
        <w:rPr/>
        <w:t>Can put a “</w:t>
      </w:r>
      <w:hyperlink r:id="rId61">
        <w:r>
          <w:rPr>
            <w:rStyle w:val="Hyperlink"/>
          </w:rPr>
          <w:t>confidence envelope</w:t>
        </w:r>
      </w:hyperlink>
      <w:r>
        <w:rPr/>
        <w:t>” around data in Q-Q plots:</w:t>
      </w:r>
    </w:p>
    <w:p>
      <w:pPr>
        <w:pStyle w:val="FirstParagraph"/>
        <w:rPr/>
      </w:pPr>
      <w:bookmarkStart w:id="62" w:name="q-q-plots-cont."/>
      <w:r>
        <w:rPr/>
        <w:drawing>
          <wp:inline distT="0" distB="0" distL="0" distR="0">
            <wp:extent cx="5334000" cy="3238500"/>
            <wp:effectExtent l="0" t="0" r="0" b="0"/>
            <wp:docPr id="1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2"/>
    </w:p>
    <w:p>
      <w:pPr>
        <w:pStyle w:val="Heading2"/>
        <w:rPr/>
      </w:pPr>
      <w:r>
        <w:rPr/>
        <w:t>Alternatives to Q-Q Plots</w:t>
      </w:r>
    </w:p>
    <w:p>
      <w:pPr>
        <w:pStyle w:val="Compact"/>
        <w:numPr>
          <w:ilvl w:val="0"/>
          <w:numId w:val="337"/>
        </w:numPr>
        <w:rPr/>
      </w:pPr>
      <w:r>
        <w:rPr/>
        <w:t>Can also/instead formally test normality of a sample with, e.g.:</w:t>
      </w:r>
    </w:p>
    <w:p>
      <w:pPr>
        <w:pStyle w:val="Compact"/>
        <w:numPr>
          <w:ilvl w:val="1"/>
          <w:numId w:val="338"/>
        </w:numPr>
        <w:rPr/>
      </w:pPr>
      <w:r>
        <w:rPr/>
        <w:t xml:space="preserve">Kolmogorov-Smirnov Test (In </w:t>
      </w:r>
      <w:hyperlink r:id="rId63">
        <w:r>
          <w:rPr>
            <w:rStyle w:val="Hyperlink"/>
          </w:rPr>
          <w:t>SPSS</w:t>
        </w:r>
      </w:hyperlink>
      <w:r>
        <w:rPr/>
        <w:t xml:space="preserve"> &amp; </w:t>
      </w:r>
      <w:hyperlink r:id="rId64">
        <w:r>
          <w:rPr>
            <w:rStyle w:val="Hyperlink"/>
          </w:rPr>
          <w:t>R</w:t>
        </w:r>
      </w:hyperlink>
      <w:r>
        <w:rPr/>
        <w:t>)</w:t>
      </w:r>
    </w:p>
    <w:p>
      <w:pPr>
        <w:pStyle w:val="Compact"/>
        <w:numPr>
          <w:ilvl w:val="1"/>
          <w:numId w:val="339"/>
        </w:numPr>
        <w:rPr/>
      </w:pPr>
      <w:r>
        <w:rPr/>
        <w:t xml:space="preserve">Shapiro-Wilk Test (In </w:t>
      </w:r>
      <w:hyperlink r:id="rId65">
        <w:r>
          <w:rPr>
            <w:rStyle w:val="Hyperlink"/>
          </w:rPr>
          <w:t>SPSS</w:t>
        </w:r>
      </w:hyperlink>
      <w:r>
        <w:rPr/>
        <w:t xml:space="preserve"> &amp; </w:t>
      </w:r>
      <w:hyperlink r:id="rId66">
        <w:r>
          <w:rPr>
            <w:rStyle w:val="Hyperlink"/>
          </w:rPr>
          <w:t>R</w:t>
        </w:r>
      </w:hyperlink>
      <w:r>
        <w:rPr/>
        <w:t>)</w:t>
      </w:r>
    </w:p>
    <w:p>
      <w:pPr>
        <w:pStyle w:val="Compact"/>
        <w:numPr>
          <w:ilvl w:val="1"/>
          <w:numId w:val="340"/>
        </w:numPr>
        <w:rPr/>
      </w:pPr>
      <w:hyperlink r:id="rId67">
        <w:r>
          <w:rPr>
            <w:rStyle w:val="Hyperlink"/>
          </w:rPr>
          <w:t>Anderson-Darling Test</w:t>
        </w:r>
      </w:hyperlink>
      <w:r>
        <w:rPr/>
        <w:t xml:space="preserve"> (In </w:t>
      </w:r>
      <w:hyperlink r:id="rId68">
        <w:r>
          <w:rPr>
            <w:rStyle w:val="Hyperlink"/>
          </w:rPr>
          <w:t>R</w:t>
        </w:r>
      </w:hyperlink>
      <w:r>
        <w:rPr/>
        <w:t>)</w:t>
      </w:r>
    </w:p>
    <w:p>
      <w:pPr>
        <w:pStyle w:val="Compact"/>
        <w:numPr>
          <w:ilvl w:val="0"/>
          <w:numId w:val="341"/>
        </w:numPr>
        <w:rPr/>
      </w:pPr>
      <w:hyperlink r:id="rId69">
        <w:r>
          <w:rPr>
            <w:rStyle w:val="Hyperlink"/>
          </w:rPr>
          <w:t>S-W and A-D are better than K-S</w:t>
        </w:r>
      </w:hyperlink>
      <w:r>
        <w:rPr/>
        <w:t>, but all are strongly affected by sample size</w:t>
      </w:r>
    </w:p>
    <w:p>
      <w:pPr>
        <w:pStyle w:val="Compact"/>
        <w:numPr>
          <w:ilvl w:val="1"/>
          <w:numId w:val="342"/>
        </w:numPr>
        <w:rPr/>
      </w:pPr>
      <w:r>
        <w:rPr/>
        <w:t xml:space="preserve">Under-powered with small </w:t>
      </w:r>
      <w:r>
        <w:rPr>
          <w:i/>
          <w:iCs/>
        </w:rPr>
        <w:t>N</w:t>
      </w:r>
    </w:p>
    <w:p>
      <w:pPr>
        <w:pStyle w:val="Compact"/>
        <w:numPr>
          <w:ilvl w:val="2"/>
          <w:numId w:val="343"/>
        </w:numPr>
        <w:rPr/>
      </w:pPr>
      <w:r>
        <w:rPr/>
        <w:t>Can’t detect non-normality when we need to</w:t>
      </w:r>
    </w:p>
    <w:p>
      <w:pPr>
        <w:pStyle w:val="Compact"/>
        <w:numPr>
          <w:ilvl w:val="1"/>
          <w:numId w:val="344"/>
        </w:numPr>
        <w:rPr/>
      </w:pPr>
      <w:r>
        <w:rPr/>
        <w:t xml:space="preserve">Over-powered with large </w:t>
      </w:r>
      <w:r>
        <w:rPr>
          <w:i/>
          <w:iCs/>
        </w:rPr>
        <w:t>N</w:t>
      </w:r>
    </w:p>
    <w:p>
      <w:pPr>
        <w:pStyle w:val="Compact"/>
        <w:numPr>
          <w:ilvl w:val="2"/>
          <w:numId w:val="345"/>
        </w:numPr>
        <w:rPr/>
      </w:pPr>
      <w:r>
        <w:rPr/>
        <w:t>Overly sensitive to deviations when we don’t need to know</w:t>
      </w:r>
    </w:p>
    <w:p>
      <w:pPr>
        <w:pStyle w:val="Compact"/>
        <w:numPr>
          <w:ilvl w:val="2"/>
          <w:numId w:val="346"/>
        </w:numPr>
        <w:rPr/>
      </w:pPr>
      <w:bookmarkStart w:id="63" w:name="the-normal-distribution"/>
      <w:bookmarkStart w:id="64" w:name="alternatives-to-q-q-plots"/>
      <w:r>
        <w:rPr/>
        <w:t>(I.e., have enough data to approximate population distribution without assuming normality)</w:t>
      </w:r>
      <w:bookmarkEnd w:id="63"/>
      <w:bookmarkEnd w:id="64"/>
    </w:p>
    <w:p>
      <w:pPr>
        <w:pStyle w:val="Heading1"/>
        <w:rPr>
          <w:b w:val="false"/>
          <w:bCs w:val="false"/>
        </w:rPr>
      </w:pPr>
      <w:bookmarkStart w:id="65" w:name="the-χ²-distribution"/>
      <w:r>
        <w:rPr>
          <w:b w:val="false"/>
          <w:bCs w:val="false"/>
        </w:rPr>
        <w:t>The χ² Distribution</w:t>
      </w:r>
    </w:p>
    <w:p>
      <w:pPr>
        <w:pStyle w:val="Heading2"/>
        <w:rPr/>
      </w:pPr>
      <w:bookmarkStart w:id="66" w:name="background"/>
      <w:r>
        <w:rPr/>
        <w:t>Background</w:t>
      </w:r>
    </w:p>
    <w:p>
      <w:pPr>
        <w:pStyle w:val="Compact"/>
        <w:numPr>
          <w:ilvl w:val="0"/>
          <w:numId w:val="347"/>
        </w:numPr>
        <w:rPr/>
      </w:pPr>
      <w:hyperlink r:id="rId70">
        <w:r>
          <w:rPr>
            <w:rStyle w:val="Hyperlink"/>
          </w:rPr>
          <w:t>Invented</w:t>
        </w:r>
      </w:hyperlink>
      <w:r>
        <w:rPr/>
        <w:t xml:space="preserve"> by </w:t>
      </w:r>
      <w:hyperlink r:id="rId71">
        <w:r>
          <w:rPr>
            <w:rStyle w:val="Hyperlink"/>
          </w:rPr>
          <w:t>Karl Pearson</w:t>
        </w:r>
      </w:hyperlink>
      <w:r>
        <w:rPr/>
        <w:t xml:space="preserve"> (in an abstruse </w:t>
      </w:r>
      <w:hyperlink r:id="rId72">
        <w:r>
          <w:rPr>
            <w:rStyle w:val="Hyperlink"/>
          </w:rPr>
          <w:t>1900 article</w:t>
        </w:r>
      </w:hyperlink>
      <w:r>
        <w:rPr/>
        <w:t>)</w:t>
      </w:r>
    </w:p>
    <w:p>
      <w:pPr>
        <w:pStyle w:val="Compact"/>
        <w:numPr>
          <w:ilvl w:val="0"/>
          <w:numId w:val="348"/>
        </w:numPr>
        <w:rPr/>
      </w:pPr>
      <w:r>
        <w:rPr/>
        <w:t>Originally to test “</w:t>
      </w:r>
      <w:hyperlink r:id="rId73">
        <w:r>
          <w:rPr>
            <w:rStyle w:val="Hyperlink"/>
          </w:rPr>
          <w:t>goodness of fit</w:t>
        </w:r>
      </w:hyperlink>
      <w:r>
        <w:rPr/>
        <w:t>”</w:t>
      </w:r>
    </w:p>
    <w:p>
      <w:pPr>
        <w:pStyle w:val="Compact"/>
        <w:numPr>
          <w:ilvl w:val="1"/>
          <w:numId w:val="349"/>
        </w:numPr>
        <w:rPr/>
      </w:pPr>
      <w:r>
        <w:rPr/>
        <w:t>I.e., how well a set of data fit a theoretical distribution</w:t>
      </w:r>
    </w:p>
    <w:p>
      <w:pPr>
        <w:pStyle w:val="Compact"/>
        <w:numPr>
          <w:ilvl w:val="1"/>
          <w:numId w:val="350"/>
        </w:numPr>
        <w:rPr/>
      </w:pPr>
      <w:r>
        <w:rPr/>
        <w:t>Or if two sets of data follow the same distribution</w:t>
        <w:br/>
      </w:r>
    </w:p>
    <w:p>
      <w:pPr>
        <w:pStyle w:val="Compact"/>
        <w:numPr>
          <w:ilvl w:val="0"/>
          <w:numId w:val="351"/>
        </w:numPr>
        <w:rPr/>
      </w:pPr>
      <w:r>
        <w:rPr/>
        <w:t xml:space="preserve">Technically, χ² is a type of </w:t>
      </w:r>
      <w:hyperlink r:id="rId74">
        <w:r>
          <w:rPr>
            <w:rStyle w:val="Hyperlink"/>
          </w:rPr>
          <w:t>Gamma distribution</w:t>
        </w:r>
      </w:hyperlink>
      <w:r>
        <w:rPr/>
        <w:t xml:space="preserve"> created by the distribution of sums of the squares of a set of standard normal random variables</w:t>
      </w:r>
    </w:p>
    <w:p>
      <w:pPr>
        <w:pStyle w:val="Compact"/>
        <w:numPr>
          <w:ilvl w:val="1"/>
          <w:numId w:val="352"/>
        </w:numPr>
        <w:rPr/>
      </w:pPr>
      <w:r>
        <w:rPr/>
        <w:t xml:space="preserve">A lot like we get when computing ordinary least squares for </w:t>
      </w:r>
      <w:r>
        <w:rPr>
          <w:i/>
          <w:iCs/>
        </w:rPr>
        <w:t>t</w:t>
      </w:r>
      <w:r>
        <w:rPr/>
        <w:t>-tests &amp; ANOVAs</w:t>
      </w:r>
    </w:p>
    <w:p>
      <w:pPr>
        <w:pStyle w:val="Compact"/>
        <w:numPr>
          <w:ilvl w:val="1"/>
          <w:numId w:val="353"/>
        </w:numPr>
        <w:rPr/>
      </w:pPr>
      <w:r>
        <w:rPr/>
        <w:t xml:space="preserve">And is </w:t>
      </w:r>
      <w:hyperlink r:id="rId75">
        <w:r>
          <w:rPr>
            <w:rStyle w:val="Hyperlink"/>
          </w:rPr>
          <w:t>closely related</w:t>
        </w:r>
      </w:hyperlink>
      <w:r>
        <w:rPr/>
        <w:t xml:space="preserve"> to the </w:t>
      </w:r>
      <w:r>
        <w:rPr>
          <w:i/>
          <w:iCs/>
        </w:rPr>
        <w:t>t</w:t>
      </w:r>
      <w:r>
        <w:rPr/>
        <w:t xml:space="preserve"> and </w:t>
      </w:r>
      <w:r>
        <w:rPr>
          <w:i/>
          <w:iCs/>
        </w:rPr>
        <w:t>F</w:t>
      </w:r>
      <w:r>
        <w:rPr/>
        <w:t xml:space="preserve"> distributions</w:t>
      </w:r>
      <w:bookmarkEnd w:id="66"/>
    </w:p>
    <w:p>
      <w:pPr>
        <w:pStyle w:val="Heading2"/>
        <w:rPr/>
      </w:pPr>
      <w:r>
        <w:rPr/>
        <w:t>Characteristics</w:t>
      </w:r>
    </w:p>
    <w:p>
      <w:pPr>
        <w:pStyle w:val="Compact"/>
        <w:numPr>
          <w:ilvl w:val="0"/>
          <w:numId w:val="354"/>
        </w:numPr>
        <w:rPr/>
      </w:pPr>
      <w:r>
        <w:rPr/>
        <w:t xml:space="preserve">The distribution’s shape, location, etc. are all determined by the </w:t>
      </w:r>
      <w:r>
        <w:rPr>
          <w:b/>
          <w:bCs/>
        </w:rPr>
        <w:t>degrees of freedom</w:t>
      </w:r>
    </w:p>
    <w:p>
      <w:pPr>
        <w:pStyle w:val="Compact"/>
        <w:numPr>
          <w:ilvl w:val="1"/>
          <w:numId w:val="355"/>
        </w:numPr>
        <w:rPr/>
      </w:pPr>
      <w:r>
        <w:rPr/>
        <w:t xml:space="preserve">The mean = </w:t>
      </w:r>
      <w:r>
        <w:rPr>
          <w:i/>
          <w:iCs/>
        </w:rPr>
        <w:t>df</w:t>
      </w:r>
    </w:p>
    <w:p>
      <w:pPr>
        <w:pStyle w:val="Compact"/>
        <w:numPr>
          <w:ilvl w:val="1"/>
          <w:numId w:val="356"/>
        </w:numPr>
        <w:rPr/>
      </w:pPr>
      <w:r>
        <w:rPr/>
        <w:t>The variance = 2</w:t>
      </w:r>
      <w:r>
        <w:rPr>
          <w:i/>
          <w:iCs/>
        </w:rPr>
        <w:t>df</w:t>
      </w:r>
    </w:p>
    <w:p>
      <w:pPr>
        <w:pStyle w:val="Compact"/>
        <w:numPr>
          <w:ilvl w:val="2"/>
          <w:numId w:val="357"/>
        </w:numPr>
        <w:rPr/>
      </w:pPr>
      <w:r>
        <w:rPr>
          <w:i/>
          <w:iCs/>
        </w:rPr>
        <w:t>SD</w:t>
      </w:r>
      <w:r>
        <w:rPr/>
        <w:t xml:space="preserve"> = </w:t>
      </w:r>
      <w:r>
        <w:rPr/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d</m:t>
            </m:r>
            <m:r>
              <w:rPr>
                <w:rFonts w:ascii="Cambria Math" w:hAnsi="Cambria Math"/>
              </w:rPr>
              <m:t xml:space="preserve">f</m:t>
            </m:r>
          </m:e>
        </m:rad>
      </m:oMath>
    </w:p>
    <w:p>
      <w:pPr>
        <w:pStyle w:val="Compact"/>
        <w:numPr>
          <w:ilvl w:val="1"/>
          <w:numId w:val="358"/>
        </w:numPr>
        <w:rPr/>
      </w:pPr>
      <w:r>
        <w:rPr/>
        <w:t xml:space="preserve">The maximum value for the </w:t>
      </w:r>
      <w:r>
        <w:rPr>
          <w:i/>
          <w:iCs/>
        </w:rPr>
        <w:t>y</w:t>
      </w:r>
      <w:r>
        <w:rPr/>
        <w:t xml:space="preserve">-axis = </w:t>
      </w:r>
      <w:r>
        <w:rPr>
          <w:i/>
          <w:iCs/>
        </w:rPr>
        <w:t>df</w:t>
      </w:r>
      <w:r>
        <w:rPr/>
        <w:t xml:space="preserve"> – 2 (when </w:t>
      </w:r>
      <w:r>
        <w:rPr>
          <w:i/>
          <w:iCs/>
        </w:rPr>
        <w:t>df</w:t>
      </w:r>
      <w:r>
        <w:rPr/>
        <w:t>s &gt;1)</w:t>
      </w:r>
    </w:p>
    <w:p>
      <w:pPr>
        <w:pStyle w:val="Compact"/>
        <w:numPr>
          <w:ilvl w:val="0"/>
          <w:numId w:val="359"/>
        </w:numPr>
        <w:rPr/>
      </w:pPr>
      <w:r>
        <w:rPr/>
        <w:t>As the degrees of freedom increase:</w:t>
      </w:r>
    </w:p>
    <w:p>
      <w:pPr>
        <w:pStyle w:val="Compact"/>
        <w:numPr>
          <w:ilvl w:val="1"/>
          <w:numId w:val="360"/>
        </w:numPr>
        <w:rPr/>
      </w:pPr>
      <w:r>
        <w:rPr/>
        <w:t>The χ² curve approaches a normal distribution</w:t>
      </w:r>
    </w:p>
    <w:p>
      <w:pPr>
        <w:pStyle w:val="Compact"/>
        <w:numPr>
          <w:ilvl w:val="1"/>
          <w:numId w:val="361"/>
        </w:numPr>
        <w:rPr/>
      </w:pPr>
      <w:r>
        <w:rPr/>
        <w:t>The curve becomes more symmetrical</w:t>
      </w:r>
    </w:p>
    <w:p>
      <w:pPr>
        <w:pStyle w:val="Compact"/>
        <w:numPr>
          <w:ilvl w:val="0"/>
          <w:numId w:val="362"/>
        </w:numPr>
        <w:rPr/>
      </w:pPr>
      <w:r>
        <w:rPr/>
        <w:t>It has no negative values</w:t>
      </w:r>
    </w:p>
    <w:p>
      <w:pPr>
        <w:pStyle w:val="Compact"/>
        <w:numPr>
          <w:ilvl w:val="1"/>
          <w:numId w:val="363"/>
        </w:numPr>
        <w:rPr/>
      </w:pPr>
      <w:r>
        <w:rPr/>
        <w:t>Since it is based on squared values</w:t>
      </w:r>
    </w:p>
    <w:p>
      <w:pPr>
        <w:pStyle w:val="Compact"/>
        <w:numPr>
          <w:ilvl w:val="1"/>
          <w:numId w:val="364"/>
        </w:numPr>
        <w:rPr/>
      </w:pPr>
      <w:bookmarkStart w:id="67" w:name="characteristics-1"/>
      <w:r>
        <w:rPr/>
        <w:t>Making it good to test variances</w:t>
      </w:r>
      <w:bookmarkEnd w:id="67"/>
    </w:p>
    <w:p>
      <w:pPr>
        <w:pStyle w:val="Heading2"/>
        <w:rPr/>
      </w:pPr>
      <w:r>
        <w:rPr/>
        <w:t>Characteristics (cont.)</w:t>
      </w:r>
    </w:p>
    <w:p>
      <w:pPr>
        <w:pStyle w:val="FirstParagraph"/>
        <w:rPr/>
      </w:pPr>
      <w:bookmarkStart w:id="68" w:name="characteristics-cont.-1"/>
      <w:r>
        <w:rPr/>
        <w:drawing>
          <wp:inline distT="0" distB="0" distL="0" distR="0">
            <wp:extent cx="5334000" cy="3467100"/>
            <wp:effectExtent l="0" t="0" r="0" b="0"/>
            <wp:docPr id="1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8"/>
    </w:p>
    <w:p>
      <w:pPr>
        <w:pStyle w:val="Heading2"/>
        <w:rPr>
          <w:b w:val="false"/>
          <w:bCs w:val="false"/>
        </w:rPr>
      </w:pPr>
      <w:r>
        <w:rPr>
          <w:b w:val="false"/>
          <w:bCs w:val="false"/>
        </w:rPr>
        <w:t>Computing χ²</w:t>
      </w:r>
    </w:p>
    <w:p>
      <w:pPr>
        <w:pStyle w:val="FirstParagraph"/>
        <w:rPr/>
      </w:pPr>
      <w:r>
        <w:rPr/>
        <w:t>Formula for χ² value:</w:t>
      </w:r>
    </w:p>
    <w:p>
      <w:pPr>
        <w:pStyle w:val="BodyText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sSup>
            <m:e>
              <m:r>
                <w:rPr>
                  <w:rFonts w:ascii="Cambria Math" w:hAnsi="Cambria Math"/>
                </w:rPr>
                <m:t xml:space="preserve">χ</m:t>
              </m:r>
            </m:e>
            <m:sup>
              <m:r>
                <w:rPr>
                  <w:rFonts w:ascii="Cambria Math" w:hAnsi="Cambria Math"/>
                </w:rPr>
                <m:t xml:space="preserve">2</m:t>
              </m:r>
            </m:sup>
          </m:sSup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∑</m:t>
          </m:r>
          <m:f>
            <m:num>
              <m:r>
                <w:rPr>
                  <w:rFonts w:ascii="Cambria Math" w:hAnsi="Cambria Math"/>
                </w:rPr>
                <m:t xml:space="preserve">(</m:t>
              </m:r>
              <m:r>
                <w:rPr>
                  <w:rFonts w:ascii="Cambria Math" w:hAnsi="Cambria Math"/>
                </w:rPr>
                <m:t xml:space="preserve">O</m:t>
              </m:r>
              <m:r>
                <w:rPr>
                  <w:rFonts w:ascii="Cambria Math" w:hAnsi="Cambria Math"/>
                </w:rPr>
                <m:t xml:space="preserve">b</m:t>
              </m:r>
              <m:r>
                <w:rPr>
                  <w:rFonts w:ascii="Cambria Math" w:hAnsi="Cambria Math"/>
                </w:rPr>
                <m:t xml:space="preserve">s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v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d</m:t>
              </m:r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x</m:t>
              </m:r>
              <m:r>
                <w:rPr>
                  <w:rFonts w:ascii="Cambria Math" w:hAnsi="Cambria Math"/>
                </w:rPr>
                <m:t xml:space="preserve">p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c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d</m:t>
              </m:r>
              <m:sSup>
                <m:e>
                  <m:r>
                    <w:rPr>
                      <w:rFonts w:ascii="Cambria Math" w:hAnsi="Cambria Math"/>
                    </w:rPr>
                    <m:t xml:space="preserve">)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x</m:t>
              </m:r>
              <m:r>
                <w:rPr>
                  <w:rFonts w:ascii="Cambria Math" w:hAnsi="Cambria Math"/>
                </w:rPr>
                <m:t xml:space="preserve">p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c</m:t>
              </m:r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e</m:t>
              </m:r>
              <m:r>
                <w:rPr>
                  <w:rFonts w:ascii="Cambria Math" w:hAnsi="Cambria Math"/>
                </w:rPr>
                <m:t xml:space="preserve">d</m:t>
              </m:r>
            </m:den>
          </m:f>
        </m:oMath>
      </m:oMathPara>
    </w:p>
    <w:p>
      <w:pPr>
        <w:pStyle w:val="Compact"/>
        <w:numPr>
          <w:ilvl w:val="0"/>
          <w:numId w:val="365"/>
        </w:numPr>
        <w:rPr/>
      </w:pPr>
      <w:r>
        <w:rPr/>
        <w:t>Compute the differences between a data’s actual value from it’s expected value</w:t>
      </w:r>
    </w:p>
    <w:p>
      <w:pPr>
        <w:pStyle w:val="Compact"/>
        <w:numPr>
          <w:ilvl w:val="0"/>
          <w:numId w:val="366"/>
        </w:numPr>
        <w:rPr/>
      </w:pPr>
      <w:r>
        <w:rPr/>
        <w:t>Square all of those differences &amp; divide by the expected value  •  Kinda like computing the odds</w:t>
      </w:r>
    </w:p>
    <w:p>
      <w:pPr>
        <w:pStyle w:val="Compact"/>
        <w:numPr>
          <w:ilvl w:val="0"/>
          <w:numId w:val="367"/>
        </w:numPr>
        <w:rPr/>
      </w:pPr>
      <w:r>
        <w:rPr/>
        <w:t>Sum up those square differences “odds” for each group</w:t>
      </w:r>
    </w:p>
    <w:p>
      <w:pPr>
        <w:pStyle w:val="Compact"/>
        <w:numPr>
          <w:ilvl w:val="0"/>
          <w:numId w:val="368"/>
        </w:numPr>
        <w:rPr/>
      </w:pPr>
      <w:r>
        <w:rPr/>
        <w:t xml:space="preserve">Check that summed value against a χ² distribution  •  Where </w:t>
      </w:r>
      <w:r>
        <w:rPr>
          <w:i/>
          <w:iCs/>
        </w:rPr>
        <w:t>df</w:t>
      </w:r>
      <w:r>
        <w:rPr/>
        <w:t>s = (</w:t>
      </w:r>
      <w:r>
        <w:rPr>
          <w:i/>
          <w:iCs/>
        </w:rPr>
        <w:t>N</w:t>
      </w:r>
      <w:r>
        <w:rPr>
          <w:vertAlign w:val="subscript"/>
        </w:rPr>
        <w:t>rows</w:t>
      </w:r>
      <w:r>
        <w:rPr/>
        <w:t xml:space="preserve"> – 1)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×</m:t>
        </m:r>
      </m:oMath>
      <w:r>
        <w:rPr/>
        <w:t xml:space="preserve"> (</w:t>
      </w:r>
      <w:r>
        <w:rPr>
          <w:i/>
          <w:iCs/>
        </w:rPr>
        <w:t>N</w:t>
      </w:r>
      <w:r>
        <w:rPr>
          <w:vertAlign w:val="subscript"/>
        </w:rPr>
        <w:t>columns</w:t>
      </w:r>
      <w:r>
        <w:rPr/>
        <w:t xml:space="preserve"> – 1)</w:t>
      </w:r>
    </w:p>
    <w:p>
      <w:pPr>
        <w:pStyle w:val="Compact"/>
        <w:numPr>
          <w:ilvl w:val="0"/>
          <w:numId w:val="369"/>
        </w:numPr>
        <w:rPr/>
      </w:pPr>
      <w:bookmarkStart w:id="69" w:name="computing-χ²"/>
      <w:r>
        <w:rPr/>
        <w:t>If the summed value is really far from the center of the distribution  •  Then those actual-expected differences are significant</w:t>
      </w:r>
      <w:bookmarkEnd w:id="69"/>
      <w:r>
        <w:br w:type="page"/>
      </w:r>
    </w:p>
    <w:p>
      <w:pPr>
        <w:pStyle w:val="Heading2"/>
        <w:spacing w:before="0" w:after="80"/>
        <w:rPr/>
      </w:pPr>
      <w:r>
        <w:rPr/>
        <w:t>Example of</w:t>
      </w:r>
      <w:r>
        <w:rPr>
          <w:b w:val="false"/>
          <w:bCs w:val="false"/>
        </w:rPr>
        <w:t xml:space="preserve"> Using χ²</w:t>
      </w:r>
    </w:p>
    <w:p>
      <w:pPr>
        <w:pStyle w:val="Compact"/>
        <w:numPr>
          <w:ilvl w:val="0"/>
          <w:numId w:val="370"/>
        </w:numPr>
        <w:rPr/>
      </w:pPr>
      <w:r>
        <w:rPr/>
        <w:t>Remember our data for Latino patients with OUDs:</w:t>
      </w:r>
    </w:p>
    <w:tbl>
      <w:tblPr>
        <w:tblW w:w="93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340"/>
        <w:gridCol w:w="2340"/>
        <w:gridCol w:w="2340"/>
        <w:gridCol w:w="2339"/>
      </w:tblGrid>
      <w:tr>
        <w:trPr>
          <w:tblHeader w:val="true"/>
          <w:cantSplit w:val="true"/>
        </w:trPr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Ethnicity</w:t>
            </w:r>
          </w:p>
        </w:tc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Diagnosed</w:t>
            </w:r>
          </w:p>
        </w:tc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Not Diagnosed</w:t>
            </w:r>
          </w:p>
        </w:tc>
        <w:tc>
          <w:tcPr>
            <w:tcW w:w="233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Total</w:t>
            </w:r>
          </w:p>
        </w:tc>
      </w:tr>
      <w:tr>
        <w:trPr>
          <w:cantSplit w:val="true"/>
        </w:trPr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Latin</w:t>
            </w:r>
          </w:p>
        </w:tc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72</w:t>
            </w:r>
          </w:p>
        </w:tc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128</w:t>
            </w:r>
          </w:p>
        </w:tc>
        <w:tc>
          <w:tcPr>
            <w:tcW w:w="233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200</w:t>
            </w:r>
          </w:p>
        </w:tc>
      </w:tr>
    </w:tbl>
    <w:p>
      <w:pPr>
        <w:pStyle w:val="Compact"/>
        <w:numPr>
          <w:ilvl w:val="0"/>
          <w:numId w:val="371"/>
        </w:numPr>
        <w:rPr/>
      </w:pPr>
      <w:r>
        <w:rPr/>
        <w:t>Presenting that a little differently:</w:t>
      </w:r>
    </w:p>
    <w:tbl>
      <w:tblPr>
        <w:tblW w:w="93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340"/>
        <w:gridCol w:w="2340"/>
        <w:gridCol w:w="2340"/>
        <w:gridCol w:w="2339"/>
      </w:tblGrid>
      <w:tr>
        <w:trPr>
          <w:tblHeader w:val="true"/>
          <w:cantSplit w:val="true"/>
        </w:trPr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Value Type</w:t>
            </w:r>
          </w:p>
        </w:tc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Diagnosed</w:t>
            </w:r>
          </w:p>
        </w:tc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Not Diagnosed</w:t>
            </w:r>
          </w:p>
        </w:tc>
        <w:tc>
          <w:tcPr>
            <w:tcW w:w="233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Total</w:t>
            </w:r>
          </w:p>
        </w:tc>
      </w:tr>
      <w:tr>
        <w:trPr>
          <w:cantSplit w:val="true"/>
        </w:trPr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Observed</w:t>
            </w:r>
          </w:p>
        </w:tc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72</w:t>
            </w:r>
          </w:p>
        </w:tc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128</w:t>
            </w:r>
          </w:p>
        </w:tc>
        <w:tc>
          <w:tcPr>
            <w:tcW w:w="233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200</w:t>
            </w:r>
          </w:p>
        </w:tc>
      </w:tr>
      <w:tr>
        <w:trPr>
          <w:cantSplit w:val="true"/>
        </w:trPr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Expected</w:t>
            </w:r>
          </w:p>
        </w:tc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100</w:t>
            </w:r>
          </w:p>
        </w:tc>
        <w:tc>
          <w:tcPr>
            <w:tcW w:w="2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100</w:t>
            </w:r>
          </w:p>
        </w:tc>
        <w:tc>
          <w:tcPr>
            <w:tcW w:w="233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200</w:t>
            </w:r>
          </w:p>
        </w:tc>
      </w:tr>
    </w:tbl>
    <w:p>
      <w:pPr>
        <w:pStyle w:val="Heading2"/>
        <w:rPr>
          <w:b w:val="false"/>
          <w:bCs w:val="false"/>
        </w:rPr>
      </w:pPr>
      <w:r>
        <w:rPr>
          <w:b w:val="false"/>
          <w:bCs w:val="false"/>
        </w:rPr>
        <w:t>Example of Using χ² (cont.)</w:t>
      </w:r>
    </w:p>
    <w:p>
      <w:pPr>
        <w:pStyle w:val="Compact"/>
        <w:numPr>
          <w:ilvl w:val="0"/>
          <w:numId w:val="372"/>
        </w:numPr>
        <w:rPr/>
      </w:pPr>
      <w:r>
        <w:rPr/>
        <w:t>Taking the difference between observed &amp; expected</w:t>
      </w:r>
    </w:p>
    <w:p>
      <w:pPr>
        <w:pStyle w:val="Compact"/>
        <w:numPr>
          <w:ilvl w:val="0"/>
          <w:numId w:val="373"/>
        </w:numPr>
        <w:rPr/>
      </w:pPr>
      <w:r>
        <w:rPr/>
        <w:t>Squaring those differences &amp; dividing by expected</w:t>
      </w:r>
    </w:p>
    <w:p>
      <w:pPr>
        <w:pStyle w:val="Compact"/>
        <w:numPr>
          <w:ilvl w:val="0"/>
          <w:numId w:val="374"/>
        </w:numPr>
        <w:rPr/>
      </w:pPr>
      <w:r>
        <w:rPr/>
        <w:t>Add up those values</w:t>
      </w:r>
    </w:p>
    <w:tbl>
      <w:tblPr>
        <w:tblW w:w="93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120"/>
        <w:gridCol w:w="3120"/>
        <w:gridCol w:w="3120"/>
      </w:tblGrid>
      <w:tr>
        <w:trPr>
          <w:tblHeader w:val="true"/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Value Type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Diagnosed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fill="F2F2F2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b/>
                <w:sz w:val="22"/>
              </w:rPr>
              <w:t>Not Diagnosed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Observed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72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128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Expected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100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100</w:t>
            </w:r>
          </w:p>
        </w:tc>
      </w:tr>
      <w:tr>
        <w:trPr>
          <w:cantSplit w:val="true"/>
        </w:trPr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left"/>
              <w:rPr/>
            </w:pPr>
            <w:r>
              <w:rPr>
                <w:rFonts w:eastAsia="Source Sans Pro" w:ascii="Source Sans Pro" w:hAnsi="Source Sans Pro"/>
                <w:sz w:val="22"/>
              </w:rPr>
              <w:t>Observed - Expected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-28</w:t>
            </w:r>
          </w:p>
        </w:tc>
        <w:tc>
          <w:tcPr>
            <w:tcW w:w="312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ource Sans Pro" w:ascii="Source Sans Pro" w:hAnsi="Source Sans Pro"/>
                <w:sz w:val="22"/>
              </w:rPr>
              <w:t>28</w:t>
            </w:r>
          </w:p>
        </w:tc>
      </w:tr>
    </w:tbl>
    <w:p>
      <w:pPr>
        <w:pStyle w:val="Compact"/>
        <w:numPr>
          <w:ilvl w:val="0"/>
          <w:numId w:val="375"/>
        </w:numPr>
        <w:rPr/>
      </w:pP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28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784</m:t>
        </m:r>
      </m:oMath>
      <w:r>
        <w:rPr/>
        <w:t xml:space="preserve"> </w:t>
      </w:r>
      <w:r>
        <w:rPr/>
        <w:t>(and -</w:t>
      </w: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28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784</m:t>
        </m:r>
      </m:oMath>
      <w:r>
        <w:rPr/>
        <w:t>)</w:t>
      </w:r>
    </w:p>
    <w:p>
      <w:pPr>
        <w:pStyle w:val="Compact"/>
        <w:numPr>
          <w:ilvl w:val="0"/>
          <w:numId w:val="376"/>
        </w:numPr>
        <w:jc w:val="left"/>
        <w:rPr/>
      </w:pPr>
      <w:r>
        <w:rPr/>
      </w:r>
      <m:oMathPara xmlns:m="http://schemas.openxmlformats.org/officeDocument/2006/math">
        <m:oMathParaPr>
          <m:jc m:val="left"/>
        </m:oMathParaPr>
        <m:oMath>
          <m:f>
            <m:num>
              <m:r>
                <w:rPr>
                  <w:rFonts w:ascii="Cambria Math" w:hAnsi="Cambria Math"/>
                </w:rPr>
                <m:t xml:space="preserve">784</m:t>
              </m:r>
            </m:num>
            <m:den>
              <m:r>
                <w:rPr>
                  <w:rFonts w:ascii="Cambria Math" w:hAnsi="Cambria Math"/>
                </w:rPr>
                <m:t xml:space="preserve">100</m:t>
              </m:r>
            </m:den>
          </m:f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7.84</m:t>
          </m:r>
        </m:oMath>
      </m:oMathPara>
    </w:p>
    <w:p>
      <w:pPr>
        <w:pStyle w:val="Compact"/>
        <w:numPr>
          <w:ilvl w:val="0"/>
          <w:numId w:val="377"/>
        </w:numPr>
        <w:jc w:val="left"/>
        <w:rPr/>
      </w:pPr>
      <w:r>
        <w:rPr/>
      </w:r>
      <m:oMathPara xmlns:m="http://schemas.openxmlformats.org/officeDocument/2006/math">
        <m:oMathParaPr>
          <m:jc m:val="left"/>
        </m:oMathParaPr>
        <m:oMath>
          <m:r>
            <w:rPr>
              <w:rFonts w:ascii="Cambria Math" w:hAnsi="Cambria Math"/>
            </w:rPr>
            <m:t xml:space="preserve">7.84</m:t>
          </m:r>
          <m:r>
            <w:rPr>
              <w:rFonts w:ascii="Cambria Math" w:hAnsi="Cambria Math"/>
            </w:rPr>
            <m:t xml:space="preserve">+</m:t>
          </m:r>
          <m:r>
            <w:rPr>
              <w:rFonts w:ascii="Cambria Math" w:hAnsi="Cambria Math"/>
            </w:rPr>
            <m:t xml:space="preserve">7.84</m:t>
          </m:r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15.68</m:t>
          </m:r>
        </m:oMath>
      </m:oMathPara>
    </w:p>
    <w:p>
      <w:pPr>
        <w:pStyle w:val="Compact"/>
        <w:numPr>
          <w:ilvl w:val="0"/>
          <w:numId w:val="378"/>
        </w:numPr>
        <w:rPr/>
      </w:pPr>
      <w:r>
        <w:rPr>
          <w:i/>
          <w:iCs/>
        </w:rPr>
        <w:t>df</w:t>
      </w:r>
      <w:r>
        <w:rPr/>
        <w:t xml:space="preserve"> =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×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×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</m:oMath>
    </w:p>
    <w:p>
      <w:pPr>
        <w:pStyle w:val="Heading2"/>
        <w:rPr/>
      </w:pPr>
      <w:r>
        <w:rPr/>
        <w:t xml:space="preserve">Example of Using </w:t>
      </w:r>
      <w:r>
        <w:rPr>
          <w:b w:val="false"/>
          <w:bCs w:val="false"/>
        </w:rPr>
        <w:t>χ²</w:t>
      </w:r>
      <w:r>
        <w:rPr/>
        <w:t xml:space="preserve"> (end)</w:t>
      </w:r>
    </w:p>
    <w:p>
      <w:pPr>
        <w:pStyle w:val="Compact"/>
        <w:numPr>
          <w:ilvl w:val="0"/>
          <w:numId w:val="379"/>
        </w:numPr>
        <w:rPr/>
      </w:pPr>
      <w:r>
        <w:rPr/>
        <w:t>The critical χ² value</w:t>
      </w:r>
    </w:p>
    <w:p>
      <w:pPr>
        <w:pStyle w:val="Compact"/>
        <w:numPr>
          <w:ilvl w:val="1"/>
          <w:numId w:val="380"/>
        </w:numPr>
        <w:rPr/>
      </w:pPr>
      <w:r>
        <w:rPr/>
        <w:t xml:space="preserve">For 1 </w:t>
      </w:r>
      <w:r>
        <w:rPr>
          <w:i/>
          <w:iCs/>
        </w:rPr>
        <w:t>df</w:t>
      </w:r>
    </w:p>
    <w:p>
      <w:pPr>
        <w:pStyle w:val="Compact"/>
        <w:numPr>
          <w:ilvl w:val="1"/>
          <w:numId w:val="381"/>
        </w:numPr>
        <w:rPr/>
      </w:pPr>
      <w:r>
        <w:rPr/>
        <w:t>And α = .05:</w:t>
      </w:r>
    </w:p>
    <w:p>
      <w:pPr>
        <w:pStyle w:val="Compact"/>
        <w:numPr>
          <w:ilvl w:val="1"/>
          <w:numId w:val="382"/>
        </w:numPr>
        <w:rPr/>
      </w:pPr>
      <w:r>
        <w:rPr/>
        <w:t>(</w:t>
      </w:r>
      <w:r>
        <w:rPr>
          <w:rStyle w:val="VerbatimChar"/>
        </w:rPr>
        <w:t>lower.tail = FALSE</w:t>
      </w:r>
      <w:r>
        <w:rPr/>
        <w:t xml:space="preserve"> gives the max value for a χ² from the null distribution)</w:t>
      </w:r>
    </w:p>
    <w:p>
      <w:pPr>
        <w:pStyle w:val="SourceCode"/>
        <w:rPr/>
      </w:pPr>
      <w:r>
        <w:rPr>
          <w:rStyle w:val="FunctionTok"/>
        </w:rPr>
        <w:t>qchisq</w:t>
      </w:r>
      <w:r>
        <w:rPr>
          <w:rStyle w:val="NormalTok"/>
        </w:rPr>
        <w:t>(</w:t>
      </w:r>
      <w:r>
        <w:rPr>
          <w:rStyle w:val="AttributeTok"/>
        </w:rPr>
        <w:t>df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AttributeTok"/>
        </w:rPr>
        <w:t>p =</w:t>
      </w:r>
      <w:r>
        <w:rPr>
          <w:rStyle w:val="NormalTok"/>
        </w:rPr>
        <w:t xml:space="preserve"> .</w:t>
      </w:r>
      <w:r>
        <w:rPr>
          <w:rStyle w:val="DecValTok"/>
        </w:rPr>
        <w:t>05</w:t>
      </w:r>
      <w:r>
        <w:rPr>
          <w:rStyle w:val="NormalTok"/>
        </w:rPr>
        <w:t xml:space="preserve">, </w:t>
      </w:r>
      <w:r>
        <w:rPr>
          <w:rStyle w:val="AttributeTok"/>
        </w:rPr>
        <w:t>lower.tail =</w:t>
      </w:r>
      <w:r>
        <w:rPr>
          <w:rStyle w:val="NormalTok"/>
        </w:rPr>
        <w:t xml:space="preserve"> </w:t>
      </w:r>
      <w:r>
        <w:rPr>
          <w:rStyle w:val="ConstantTok"/>
        </w:rPr>
        <w:t>FALSE</w:t>
      </w:r>
      <w:r>
        <w:rPr>
          <w:rStyle w:val="NormalTok"/>
        </w:rPr>
        <w:t>)</w:t>
      </w:r>
    </w:p>
    <w:p>
      <w:pPr>
        <w:pStyle w:val="SourceCode"/>
        <w:rPr/>
      </w:pPr>
      <w:r>
        <w:rPr>
          <w:rStyle w:val="VerbatimChar"/>
        </w:rPr>
        <w:t>## [1] 3.841459</w:t>
      </w:r>
    </w:p>
    <w:p>
      <w:pPr>
        <w:pStyle w:val="Compact"/>
        <w:numPr>
          <w:ilvl w:val="0"/>
          <w:numId w:val="383"/>
        </w:numPr>
        <w:rPr/>
      </w:pPr>
      <w:r>
        <w:rPr/>
        <w:t>Which is smaller than our χ² of 15.68</w:t>
      </w:r>
    </w:p>
    <w:p>
      <w:pPr>
        <w:pStyle w:val="Compact"/>
        <w:numPr>
          <w:ilvl w:val="0"/>
          <w:numId w:val="384"/>
        </w:numPr>
        <w:rPr/>
      </w:pPr>
      <w:bookmarkStart w:id="70" w:name="example-of-using-χ²-end"/>
      <w:r>
        <w:rPr/>
        <w:t>So our observed values are significantly different than our expected ones</w:t>
      </w:r>
      <w:bookmarkEnd w:id="70"/>
    </w:p>
    <w:p>
      <w:pPr>
        <w:pStyle w:val="Heading2"/>
        <w:rPr/>
      </w:pPr>
      <w:bookmarkStart w:id="71" w:name="uses-of-χ²"/>
      <w:r>
        <w:rPr/>
        <w:t xml:space="preserve">Uses of </w:t>
      </w:r>
      <w:r>
        <w:rPr>
          <w:b w:val="false"/>
          <w:bCs w:val="false"/>
        </w:rPr>
        <w:t>χ²</w:t>
      </w:r>
    </w:p>
    <w:p>
      <w:pPr>
        <w:pStyle w:val="Compact"/>
        <w:numPr>
          <w:ilvl w:val="0"/>
          <w:numId w:val="385"/>
        </w:numPr>
        <w:rPr/>
      </w:pPr>
      <w:r>
        <w:rPr/>
        <w:t xml:space="preserve">Because it only depends on </w:t>
      </w:r>
      <w:r>
        <w:rPr>
          <w:i/>
          <w:iCs/>
        </w:rPr>
        <w:t>df</w:t>
      </w:r>
      <w:r>
        <w:rPr/>
        <w:t>,</w:t>
      </w:r>
    </w:p>
    <w:p>
      <w:pPr>
        <w:pStyle w:val="Compact"/>
        <w:numPr>
          <w:ilvl w:val="1"/>
          <w:numId w:val="386"/>
        </w:numPr>
        <w:rPr/>
      </w:pPr>
      <w:r>
        <w:rPr/>
        <w:t>And resembles a normal distribution.</w:t>
      </w:r>
    </w:p>
    <w:p>
      <w:pPr>
        <w:pStyle w:val="Compact"/>
        <w:numPr>
          <w:ilvl w:val="0"/>
          <w:numId w:val="387"/>
        </w:numPr>
        <w:rPr/>
      </w:pPr>
      <w:r>
        <w:rPr/>
        <w:t>It is useful for testing if data follow a normal distribution</w:t>
      </w:r>
    </w:p>
    <w:p>
      <w:pPr>
        <w:pStyle w:val="Compact"/>
        <w:numPr>
          <w:ilvl w:val="1"/>
          <w:numId w:val="388"/>
        </w:numPr>
        <w:rPr/>
      </w:pPr>
      <w:r>
        <w:rPr/>
        <w:t>Or often if the total set of deviations from normality</w:t>
      </w:r>
    </w:p>
    <w:p>
      <w:pPr>
        <w:pStyle w:val="Compact"/>
        <w:numPr>
          <w:ilvl w:val="2"/>
          <w:numId w:val="389"/>
        </w:numPr>
        <w:rPr/>
      </w:pPr>
      <w:r>
        <w:rPr/>
        <w:t>(Or any set of expected values)</w:t>
      </w:r>
    </w:p>
    <w:p>
      <w:pPr>
        <w:pStyle w:val="Compact"/>
        <w:numPr>
          <w:ilvl w:val="1"/>
          <w:numId w:val="390"/>
        </w:numPr>
        <w:rPr/>
      </w:pPr>
      <w:r>
        <w:rPr/>
        <w:t>Are greater than expected</w:t>
        <w:br/>
      </w:r>
    </w:p>
    <w:p>
      <w:pPr>
        <w:pStyle w:val="Compact"/>
        <w:numPr>
          <w:ilvl w:val="0"/>
          <w:numId w:val="391"/>
        </w:numPr>
        <w:rPr/>
      </w:pPr>
      <w:r>
        <w:rPr/>
        <w:t>It can do this for discrete values—like counts</w:t>
      </w:r>
    </w:p>
    <w:p>
      <w:pPr>
        <w:pStyle w:val="Compact"/>
        <w:numPr>
          <w:ilvl w:val="1"/>
          <w:numId w:val="392"/>
        </w:numPr>
        <w:rPr/>
      </w:pPr>
      <w:r>
        <w:rPr>
          <w:i/>
          <w:iCs/>
        </w:rPr>
        <w:t>t</w:t>
      </w:r>
      <w:r>
        <w:rPr/>
        <w:t xml:space="preserve"> and </w:t>
      </w:r>
      <w:r>
        <w:rPr>
          <w:i/>
          <w:iCs/>
        </w:rPr>
        <w:t>F</w:t>
      </w:r>
      <w:r>
        <w:rPr/>
        <w:t xml:space="preserve"> distributions technically can’t do this</w:t>
      </w:r>
      <w:bookmarkEnd w:id="71"/>
    </w:p>
    <w:p>
      <w:pPr>
        <w:pStyle w:val="Heading2"/>
        <w:rPr/>
      </w:pPr>
      <w:r>
        <w:rPr/>
        <w:t xml:space="preserve">Uses of </w:t>
      </w:r>
      <w:r>
        <w:rPr>
          <w:b w:val="false"/>
          <w:bCs w:val="false"/>
        </w:rPr>
        <w:t>χ²</w:t>
      </w:r>
      <w:r>
        <w:rPr/>
        <w:t xml:space="preserve"> (cont.)</w:t>
      </w:r>
    </w:p>
    <w:p>
      <w:pPr>
        <w:pStyle w:val="Compact"/>
        <w:numPr>
          <w:ilvl w:val="0"/>
          <w:numId w:val="393"/>
        </w:numPr>
        <w:rPr/>
      </w:pPr>
      <w:r>
        <w:rPr/>
        <w:t xml:space="preserve">The χ² distribution has </w:t>
      </w:r>
      <w:hyperlink r:id="rId77">
        <w:r>
          <w:rPr>
            <w:rStyle w:val="Hyperlink"/>
          </w:rPr>
          <w:t>many uses</w:t>
        </w:r>
      </w:hyperlink>
      <w:r>
        <w:rPr/>
        <w:t>, including:</w:t>
      </w:r>
    </w:p>
    <w:p>
      <w:pPr>
        <w:pStyle w:val="Compact"/>
        <w:numPr>
          <w:ilvl w:val="1"/>
          <w:numId w:val="394"/>
        </w:numPr>
        <w:rPr/>
      </w:pPr>
      <w:r>
        <w:rPr/>
        <w:t>Estimating of parameters of a population of an unknown distribution</w:t>
      </w:r>
    </w:p>
    <w:p>
      <w:pPr>
        <w:pStyle w:val="Compact"/>
        <w:numPr>
          <w:ilvl w:val="1"/>
          <w:numId w:val="395"/>
        </w:numPr>
        <w:rPr/>
      </w:pPr>
      <w:r>
        <w:rPr/>
        <w:t>Checking the relationships between categorical variables</w:t>
      </w:r>
    </w:p>
    <w:p>
      <w:pPr>
        <w:pStyle w:val="Compact"/>
        <w:numPr>
          <w:ilvl w:val="1"/>
          <w:numId w:val="396"/>
        </w:numPr>
        <w:rPr/>
      </w:pPr>
      <w:r>
        <w:rPr/>
        <w:t>Checking independence of two criteria of classification of multiple qualitative variables</w:t>
      </w:r>
    </w:p>
    <w:p>
      <w:pPr>
        <w:pStyle w:val="Compact"/>
        <w:numPr>
          <w:ilvl w:val="1"/>
          <w:numId w:val="397"/>
        </w:numPr>
        <w:rPr/>
      </w:pPr>
      <w:r>
        <w:rPr/>
        <w:t>Testing deviations of differences between expected and observed frequencies</w:t>
      </w:r>
    </w:p>
    <w:p>
      <w:pPr>
        <w:pStyle w:val="Compact"/>
        <w:numPr>
          <w:ilvl w:val="1"/>
          <w:numId w:val="398"/>
        </w:numPr>
        <w:rPr/>
      </w:pPr>
      <w:bookmarkStart w:id="72" w:name="uses-of-χ²-cont."/>
      <w:r>
        <w:rPr/>
        <w:t>Conducting goodness of fit tests</w:t>
      </w:r>
      <w:bookmarkEnd w:id="72"/>
    </w:p>
    <w:p>
      <w:pPr>
        <w:pStyle w:val="Heading2"/>
        <w:rPr>
          <w:b w:val="false"/>
          <w:bCs w:val="false"/>
        </w:rPr>
      </w:pPr>
      <w:bookmarkStart w:id="73" w:name="example-of-a-χ²-test"/>
      <w:r>
        <w:rPr>
          <w:b w:val="false"/>
          <w:bCs w:val="false"/>
        </w:rPr>
        <w:t>Example of a χ² Test</w:t>
      </w:r>
    </w:p>
    <w:p>
      <w:pPr>
        <w:pStyle w:val="FirstParagraph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2935605"/>
            <wp:effectExtent l="0" t="0" r="0" b="0"/>
            <wp:wrapSquare wrapText="largest"/>
            <wp:docPr id="1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/>
      </w:pPr>
      <w:r>
        <w:rPr>
          <w:b/>
          <w:bCs/>
        </w:rPr>
        <w:t>Notes</w:t>
      </w:r>
      <w:r>
        <w:rPr/>
        <w:t xml:space="preserve">: “AA” = African Americans; </w:t>
      </w:r>
      <w:r>
        <w:rPr>
          <w:i/>
          <w:iCs/>
        </w:rPr>
        <w:t>p</w:t>
      </w:r>
      <w:r>
        <w:rPr/>
        <w:t>-values are from tests of χ²s</w:t>
      </w:r>
    </w:p>
    <w:p>
      <w:pPr>
        <w:pStyle w:val="BodyText"/>
        <w:rPr/>
      </w:pPr>
      <w:r>
        <w:rPr/>
        <w:t>Zhang, A. Y., Koroukian, S., Owusu, C., Moore, S. E., &amp; Gairola, R. (</w:t>
      </w:r>
      <w:hyperlink r:id="rId79">
        <w:r>
          <w:rPr>
            <w:rStyle w:val="Hyperlink"/>
          </w:rPr>
          <w:t>2022</w:t>
        </w:r>
      </w:hyperlink>
      <w:r>
        <w:rPr/>
        <w:t xml:space="preserve">). Socioeconomic correlates of health outcomes and mental health disparity in a sample of cancer patients during the COVID-19 pandemic. </w:t>
      </w:r>
      <w:r>
        <w:rPr>
          <w:i/>
          <w:iCs/>
        </w:rPr>
        <w:t>Journal of Clinical Nursing</w:t>
      </w:r>
      <w:r>
        <w:rPr/>
        <w:t xml:space="preserve">. </w:t>
      </w:r>
      <w:hyperlink r:id="rId80">
        <w:r>
          <w:rPr>
            <w:rStyle w:val="Hyperlink"/>
          </w:rPr>
          <w:t>https://doi.org/10.1111/jocn.16266</w:t>
        </w:r>
      </w:hyperlink>
      <w:bookmarkEnd w:id="65"/>
      <w:bookmarkEnd w:id="73"/>
    </w:p>
    <w:p>
      <w:pPr>
        <w:pStyle w:val="Heading1"/>
        <w:rPr/>
      </w:pPr>
      <w:bookmarkStart w:id="74" w:name="the-end"/>
      <w:r>
        <w:rPr/>
        <w:t>The End</w:t>
      </w:r>
      <w:bookmarkEnd w:id="74"/>
    </w:p>
    <w:p>
      <w:pPr>
        <w:pStyle w:val="Heading1"/>
        <w:keepNext w:val="true"/>
        <w:keepLines/>
        <w:spacing w:before="360" w:after="80"/>
        <w:rPr/>
      </w:pPr>
      <w:r>
        <w:rPr/>
      </w:r>
      <w:bookmarkStart w:id="75" w:name="section-1"/>
      <w:bookmarkStart w:id="76" w:name="section-1"/>
      <w:bookmarkEnd w:id="76"/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ptos">
    <w:charset w:val="01"/>
    <w:family w:val="auto"/>
    <w:pitch w:val="default"/>
  </w:font>
  <w:font w:name="Aptos Display">
    <w:charset w:val="01"/>
    <w:family w:val="auto"/>
    <w:pitch w:val="default"/>
  </w:font>
  <w:font w:name="Consolas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LM Roman 12:cpsp=1&amp;onum=1&amp;pnum=1&amp;nfsp=1&amp;salt=1&amp;ss05=1&amp;dash=1&amp;itlc=1&amp;minu=1&amp;quot=1&amp;thou=0">
    <w:charset w:val="01"/>
    <w:family w:val="auto"/>
    <w:pitch w:val="default"/>
  </w:font>
  <w:font w:name="Source Sans Pro">
    <w:charset w:val="01"/>
    <w:family w:val="auto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  <w:rPr/>
    </w:lvl>
    <w:lvl w:ilvl="1">
      <w:start w:val="1"/>
      <w:numFmt w:val="decimal"/>
      <w:lvlText w:val="%2."/>
      <w:lvlJc w:val="left"/>
      <w:pPr>
        <w:tabs>
          <w:tab w:val="num" w:pos="1142"/>
        </w:tabs>
        <w:ind w:left="1142" w:hanging="360"/>
      </w:pPr>
      <w:rPr/>
    </w:lvl>
    <w:lvl w:ilvl="2">
      <w:start w:val="1"/>
      <w:numFmt w:val="decimal"/>
      <w:lvlText w:val="%3."/>
      <w:lvlJc w:val="left"/>
      <w:pPr>
        <w:tabs>
          <w:tab w:val="num" w:pos="1502"/>
        </w:tabs>
        <w:ind w:left="1502" w:hanging="360"/>
      </w:pPr>
      <w:rPr/>
    </w:lvl>
    <w:lvl w:ilvl="3">
      <w:start w:val="1"/>
      <w:numFmt w:val="decimal"/>
      <w:lvlText w:val="%4."/>
      <w:lvlJc w:val="left"/>
      <w:pPr>
        <w:tabs>
          <w:tab w:val="num" w:pos="1862"/>
        </w:tabs>
        <w:ind w:left="1862" w:hanging="360"/>
      </w:pPr>
      <w:rPr/>
    </w:lvl>
    <w:lvl w:ilvl="4">
      <w:start w:val="1"/>
      <w:numFmt w:val="decimal"/>
      <w:lvlText w:val="%5."/>
      <w:lvlJc w:val="left"/>
      <w:pPr>
        <w:tabs>
          <w:tab w:val="num" w:pos="2222"/>
        </w:tabs>
        <w:ind w:left="2222" w:hanging="360"/>
      </w:pPr>
      <w:rPr/>
    </w:lvl>
    <w:lvl w:ilvl="5">
      <w:start w:val="1"/>
      <w:numFmt w:val="decimal"/>
      <w:lvlText w:val="%6."/>
      <w:lvlJc w:val="left"/>
      <w:pPr>
        <w:tabs>
          <w:tab w:val="num" w:pos="2582"/>
        </w:tabs>
        <w:ind w:left="2582" w:hanging="360"/>
      </w:pPr>
      <w:rPr/>
    </w:lvl>
    <w:lvl w:ilvl="6">
      <w:start w:val="1"/>
      <w:numFmt w:val="decimal"/>
      <w:lvlText w:val="%7."/>
      <w:lvlJc w:val="left"/>
      <w:pPr>
        <w:tabs>
          <w:tab w:val="num" w:pos="2942"/>
        </w:tabs>
        <w:ind w:left="2942" w:hanging="360"/>
      </w:pPr>
      <w:rPr/>
    </w:lvl>
    <w:lvl w:ilvl="7">
      <w:start w:val="1"/>
      <w:numFmt w:val="decimal"/>
      <w:lvlText w:val="%8."/>
      <w:lvlJc w:val="left"/>
      <w:pPr>
        <w:tabs>
          <w:tab w:val="num" w:pos="3302"/>
        </w:tabs>
        <w:ind w:left="3302" w:hanging="360"/>
      </w:pPr>
      <w:rPr/>
    </w:lvl>
    <w:lvl w:ilvl="8">
      <w:start w:val="1"/>
      <w:numFmt w:val="decimal"/>
      <w:lvlText w:val="%9."/>
      <w:lvlJc w:val="left"/>
      <w:pPr>
        <w:tabs>
          <w:tab w:val="num" w:pos="3662"/>
        </w:tabs>
        <w:ind w:left="3662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82"/>
        </w:tabs>
        <w:ind w:left="78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42"/>
        </w:tabs>
        <w:ind w:left="114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2"/>
        </w:tabs>
        <w:ind w:left="150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2"/>
        </w:tabs>
        <w:ind w:left="1862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22"/>
        </w:tabs>
        <w:ind w:left="222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2"/>
        </w:tabs>
        <w:ind w:left="258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02"/>
        </w:tabs>
        <w:ind w:left="330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2"/>
        </w:tabs>
        <w:ind w:left="3662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82"/>
        </w:tabs>
        <w:ind w:left="78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42"/>
        </w:tabs>
        <w:ind w:left="114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2"/>
        </w:tabs>
        <w:ind w:left="150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2"/>
        </w:tabs>
        <w:ind w:left="1862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22"/>
        </w:tabs>
        <w:ind w:left="222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2"/>
        </w:tabs>
        <w:ind w:left="258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02"/>
        </w:tabs>
        <w:ind w:left="330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2"/>
        </w:tabs>
        <w:ind w:left="3662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82"/>
        </w:tabs>
        <w:ind w:left="78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42"/>
        </w:tabs>
        <w:ind w:left="114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2"/>
        </w:tabs>
        <w:ind w:left="150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2"/>
        </w:tabs>
        <w:ind w:left="1862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22"/>
        </w:tabs>
        <w:ind w:left="222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2"/>
        </w:tabs>
        <w:ind w:left="258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02"/>
        </w:tabs>
        <w:ind w:left="330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2"/>
        </w:tabs>
        <w:ind w:left="3662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17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17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17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17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17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17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17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17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9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0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5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6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19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20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20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20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/>
    </w:lvl>
  </w:abstractNum>
  <w:abstractNum w:abstractNumId="20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176"/>
  </w:num>
  <w:num w:numId="177">
    <w:abstractNumId w:val="177"/>
  </w:num>
  <w:num w:numId="178">
    <w:abstractNumId w:val="178"/>
  </w:num>
  <w:num w:numId="179">
    <w:abstractNumId w:val="179"/>
  </w:num>
  <w:num w:numId="180">
    <w:abstractNumId w:val="180"/>
  </w:num>
  <w:num w:numId="181">
    <w:abstractNumId w:val="181"/>
  </w:num>
  <w:num w:numId="182">
    <w:abstractNumId w:val="182"/>
  </w:num>
  <w:num w:numId="183">
    <w:abstractNumId w:val="183"/>
  </w:num>
  <w:num w:numId="184">
    <w:abstractNumId w:val="184"/>
  </w:num>
  <w:num w:numId="185">
    <w:abstractNumId w:val="185"/>
  </w:num>
  <w:num w:numId="186">
    <w:abstractNumId w:val="186"/>
  </w:num>
  <w:num w:numId="187">
    <w:abstractNumId w:val="187"/>
  </w:num>
  <w:num w:numId="188">
    <w:abstractNumId w:val="188"/>
  </w:num>
  <w:num w:numId="189">
    <w:abstractNumId w:val="189"/>
  </w:num>
  <w:num w:numId="190">
    <w:abstractNumId w:val="190"/>
  </w:num>
  <w:num w:numId="191">
    <w:abstractNumId w:val="191"/>
  </w:num>
  <w:num w:numId="192">
    <w:abstractNumId w:val="192"/>
  </w:num>
  <w:num w:numId="193">
    <w:abstractNumId w:val="193"/>
  </w:num>
  <w:num w:numId="194">
    <w:abstractNumId w:val="194"/>
  </w:num>
  <w:num w:numId="195">
    <w:abstractNumId w:val="195"/>
  </w:num>
  <w:num w:numId="196">
    <w:abstractNumId w:val="196"/>
  </w:num>
  <w:num w:numId="197">
    <w:abstractNumId w:val="197"/>
  </w:num>
  <w:num w:numId="198">
    <w:abstractNumId w:val="198"/>
  </w:num>
  <w:num w:numId="199">
    <w:abstractNumId w:val="199"/>
  </w:num>
  <w:num w:numId="200">
    <w:abstractNumId w:val="200"/>
  </w:num>
  <w:num w:numId="201">
    <w:abstractNumId w:val="201"/>
  </w:num>
  <w:num w:numId="202">
    <w:abstractNumId w:val="202"/>
  </w:num>
  <w:num w:numId="203">
    <w:abstractNumId w:val="203"/>
  </w:num>
  <w:num w:numId="204">
    <w:abstractNumId w:val="1"/>
  </w:num>
  <w:num w:numId="205">
    <w:abstractNumId w:val="1"/>
  </w:num>
  <w:num w:numId="206">
    <w:abstractNumId w:val="1"/>
  </w:num>
  <w:num w:numId="207">
    <w:abstractNumId w:val="1"/>
  </w:num>
  <w:num w:numId="208">
    <w:abstractNumId w:val="1"/>
  </w:num>
  <w:num w:numId="209">
    <w:abstractNumId w:val="1"/>
  </w:num>
  <w:num w:numId="210">
    <w:abstractNumId w:val="1"/>
  </w:num>
  <w:num w:numId="211">
    <w:abstractNumId w:val="1"/>
  </w:num>
  <w:num w:numId="212">
    <w:abstractNumId w:val="1"/>
  </w:num>
  <w:num w:numId="213">
    <w:abstractNumId w:val="1"/>
  </w:num>
  <w:num w:numId="214">
    <w:abstractNumId w:val="1"/>
  </w:num>
  <w:num w:numId="215">
    <w:abstractNumId w:val="1"/>
  </w:num>
  <w:num w:numId="216">
    <w:abstractNumId w:val="1"/>
  </w:num>
  <w:num w:numId="217">
    <w:abstractNumId w:val="1"/>
  </w:num>
  <w:num w:numId="218">
    <w:abstractNumId w:val="1"/>
  </w:num>
  <w:num w:numId="219">
    <w:abstractNumId w:val="1"/>
  </w:num>
  <w:num w:numId="220">
    <w:abstractNumId w:val="1"/>
  </w:num>
  <w:num w:numId="221">
    <w:abstractNumId w:val="1"/>
  </w:num>
  <w:num w:numId="222">
    <w:abstractNumId w:val="1"/>
  </w:num>
  <w:num w:numId="223">
    <w:abstractNumId w:val="1"/>
  </w:num>
  <w:num w:numId="224">
    <w:abstractNumId w:val="1"/>
  </w:num>
  <w:num w:numId="225">
    <w:abstractNumId w:val="1"/>
  </w:num>
  <w:num w:numId="226">
    <w:abstractNumId w:val="1"/>
  </w:num>
  <w:num w:numId="227">
    <w:abstractNumId w:val="1"/>
  </w:num>
  <w:num w:numId="228">
    <w:abstractNumId w:val="1"/>
  </w:num>
  <w:num w:numId="229">
    <w:abstractNumId w:val="1"/>
  </w:num>
  <w:num w:numId="230">
    <w:abstractNumId w:val="1"/>
  </w:num>
  <w:num w:numId="231">
    <w:abstractNumId w:val="1"/>
  </w:num>
  <w:num w:numId="232">
    <w:abstractNumId w:val="1"/>
  </w:num>
  <w:num w:numId="233">
    <w:abstractNumId w:val="1"/>
  </w:num>
  <w:num w:numId="234">
    <w:abstractNumId w:val="1"/>
  </w:num>
  <w:num w:numId="235">
    <w:abstractNumId w:val="1"/>
  </w:num>
  <w:num w:numId="236">
    <w:abstractNumId w:val="1"/>
  </w:num>
  <w:num w:numId="237">
    <w:abstractNumId w:val="1"/>
  </w:num>
  <w:num w:numId="238">
    <w:abstractNumId w:val="1"/>
  </w:num>
  <w:num w:numId="239">
    <w:abstractNumId w:val="1"/>
  </w:num>
  <w:num w:numId="240">
    <w:abstractNumId w:val="1"/>
  </w:num>
  <w:num w:numId="241">
    <w:abstractNumId w:val="1"/>
  </w:num>
  <w:num w:numId="242">
    <w:abstractNumId w:val="1"/>
  </w:num>
  <w:num w:numId="243">
    <w:abstractNumId w:val="1"/>
  </w:num>
  <w:num w:numId="244">
    <w:abstractNumId w:val="1"/>
  </w:num>
  <w:num w:numId="245">
    <w:abstractNumId w:val="1"/>
  </w:num>
  <w:num w:numId="246">
    <w:abstractNumId w:val="1"/>
  </w:num>
  <w:num w:numId="247">
    <w:abstractNumId w:val="1"/>
  </w:num>
  <w:num w:numId="248">
    <w:abstractNumId w:val="1"/>
  </w:num>
  <w:num w:numId="249">
    <w:abstractNumId w:val="1"/>
  </w:num>
  <w:num w:numId="250">
    <w:abstractNumId w:val="1"/>
  </w:num>
  <w:num w:numId="251">
    <w:abstractNumId w:val="1"/>
  </w:num>
  <w:num w:numId="252">
    <w:abstractNumId w:val="1"/>
  </w:num>
  <w:num w:numId="253">
    <w:abstractNumId w:val="1"/>
  </w:num>
  <w:num w:numId="254">
    <w:abstractNumId w:val="1"/>
  </w:num>
  <w:num w:numId="255">
    <w:abstractNumId w:val="1"/>
  </w:num>
  <w:num w:numId="256">
    <w:abstractNumId w:val="1"/>
  </w:num>
  <w:num w:numId="257">
    <w:abstractNumId w:val="1"/>
  </w:num>
  <w:num w:numId="258">
    <w:abstractNumId w:val="1"/>
  </w:num>
  <w:num w:numId="259">
    <w:abstractNumId w:val="1"/>
  </w:num>
  <w:num w:numId="260">
    <w:abstractNumId w:val="1"/>
  </w:num>
  <w:num w:numId="261">
    <w:abstractNumId w:val="1"/>
  </w:num>
  <w:num w:numId="262">
    <w:abstractNumId w:val="1"/>
  </w:num>
  <w:num w:numId="263">
    <w:abstractNumId w:val="1"/>
  </w:num>
  <w:num w:numId="264">
    <w:abstractNumId w:val="1"/>
  </w:num>
  <w:num w:numId="265">
    <w:abstractNumId w:val="1"/>
  </w:num>
  <w:num w:numId="266">
    <w:abstractNumId w:val="1"/>
  </w:num>
  <w:num w:numId="267">
    <w:abstractNumId w:val="1"/>
  </w:num>
  <w:num w:numId="268">
    <w:abstractNumId w:val="1"/>
  </w:num>
  <w:num w:numId="269">
    <w:abstractNumId w:val="1"/>
  </w:num>
  <w:num w:numId="270">
    <w:abstractNumId w:val="1"/>
  </w:num>
  <w:num w:numId="271">
    <w:abstractNumId w:val="1"/>
  </w:num>
  <w:num w:numId="272">
    <w:abstractNumId w:val="1"/>
  </w:num>
  <w:num w:numId="273">
    <w:abstractNumId w:val="1"/>
  </w:num>
  <w:num w:numId="274">
    <w:abstractNumId w:val="1"/>
  </w:num>
  <w:num w:numId="275">
    <w:abstractNumId w:val="1"/>
  </w:num>
  <w:num w:numId="276">
    <w:abstractNumId w:val="1"/>
  </w:num>
  <w:num w:numId="277">
    <w:abstractNumId w:val="1"/>
  </w:num>
  <w:num w:numId="278">
    <w:abstractNumId w:val="1"/>
  </w:num>
  <w:num w:numId="279">
    <w:abstractNumId w:val="1"/>
  </w:num>
  <w:num w:numId="280">
    <w:abstractNumId w:val="1"/>
  </w:num>
  <w:num w:numId="281">
    <w:abstractNumId w:val="1"/>
  </w:num>
  <w:num w:numId="282">
    <w:abstractNumId w:val="1"/>
  </w:num>
  <w:num w:numId="283">
    <w:abstractNumId w:val="1"/>
  </w:num>
  <w:num w:numId="284">
    <w:abstractNumId w:val="1"/>
  </w:num>
  <w:num w:numId="285">
    <w:abstractNumId w:val="1"/>
  </w:num>
  <w:num w:numId="286">
    <w:abstractNumId w:val="1"/>
  </w:num>
  <w:num w:numId="287">
    <w:abstractNumId w:val="1"/>
  </w:num>
  <w:num w:numId="288">
    <w:abstractNumId w:val="1"/>
  </w:num>
  <w:num w:numId="289">
    <w:abstractNumId w:val="1"/>
  </w:num>
  <w:num w:numId="290">
    <w:abstractNumId w:val="1"/>
  </w:num>
  <w:num w:numId="291">
    <w:abstractNumId w:val="1"/>
  </w:num>
  <w:num w:numId="292">
    <w:abstractNumId w:val="1"/>
  </w:num>
  <w:num w:numId="293">
    <w:abstractNumId w:val="1"/>
  </w:num>
  <w:num w:numId="294">
    <w:abstractNumId w:val="1"/>
  </w:num>
  <w:num w:numId="295">
    <w:abstractNumId w:val="1"/>
  </w:num>
  <w:num w:numId="296">
    <w:abstractNumId w:val="1"/>
  </w:num>
  <w:num w:numId="297">
    <w:abstractNumId w:val="1"/>
  </w:num>
  <w:num w:numId="298">
    <w:abstractNumId w:val="1"/>
  </w:num>
  <w:num w:numId="299">
    <w:abstractNumId w:val="1"/>
  </w:num>
  <w:num w:numId="300">
    <w:abstractNumId w:val="1"/>
  </w:num>
  <w:num w:numId="301">
    <w:abstractNumId w:val="1"/>
  </w:num>
  <w:num w:numId="302">
    <w:abstractNumId w:val="1"/>
  </w:num>
  <w:num w:numId="303">
    <w:abstractNumId w:val="1"/>
  </w:num>
  <w:num w:numId="304">
    <w:abstractNumId w:val="1"/>
  </w:num>
  <w:num w:numId="305">
    <w:abstractNumId w:val="1"/>
  </w:num>
  <w:num w:numId="306">
    <w:abstractNumId w:val="1"/>
  </w:num>
  <w:num w:numId="307">
    <w:abstractNumId w:val="1"/>
  </w:num>
  <w:num w:numId="308">
    <w:abstractNumId w:val="1"/>
  </w:num>
  <w:num w:numId="309">
    <w:abstractNumId w:val="1"/>
  </w:num>
  <w:num w:numId="310">
    <w:abstractNumId w:val="1"/>
  </w:num>
  <w:num w:numId="311">
    <w:abstractNumId w:val="1"/>
  </w:num>
  <w:num w:numId="312">
    <w:abstractNumId w:val="1"/>
  </w:num>
  <w:num w:numId="313">
    <w:abstractNumId w:val="1"/>
  </w:num>
  <w:num w:numId="314">
    <w:abstractNumId w:val="1"/>
  </w:num>
  <w:num w:numId="315">
    <w:abstractNumId w:val="1"/>
  </w:num>
  <w:num w:numId="316">
    <w:abstractNumId w:val="1"/>
  </w:num>
  <w:num w:numId="317">
    <w:abstractNumId w:val="1"/>
  </w:num>
  <w:num w:numId="318">
    <w:abstractNumId w:val="1"/>
  </w:num>
  <w:num w:numId="319">
    <w:abstractNumId w:val="1"/>
  </w:num>
  <w:num w:numId="320">
    <w:abstractNumId w:val="1"/>
  </w:num>
  <w:num w:numId="321">
    <w:abstractNumId w:val="1"/>
  </w:num>
  <w:num w:numId="322">
    <w:abstractNumId w:val="1"/>
  </w:num>
  <w:num w:numId="323">
    <w:abstractNumId w:val="1"/>
  </w:num>
  <w:num w:numId="324">
    <w:abstractNumId w:val="1"/>
  </w:num>
  <w:num w:numId="325">
    <w:abstractNumId w:val="1"/>
  </w:num>
  <w:num w:numId="326">
    <w:abstractNumId w:val="1"/>
  </w:num>
  <w:num w:numId="327">
    <w:abstractNumId w:val="1"/>
  </w:num>
  <w:num w:numId="328">
    <w:abstractNumId w:val="1"/>
  </w:num>
  <w:num w:numId="329">
    <w:abstractNumId w:val="1"/>
  </w:num>
  <w:num w:numId="330">
    <w:abstractNumId w:val="1"/>
  </w:num>
  <w:num w:numId="331">
    <w:abstractNumId w:val="1"/>
  </w:num>
  <w:num w:numId="332">
    <w:abstractNumId w:val="1"/>
  </w:num>
  <w:num w:numId="333">
    <w:abstractNumId w:val="1"/>
  </w:num>
  <w:num w:numId="334">
    <w:abstractNumId w:val="1"/>
  </w:num>
  <w:num w:numId="335">
    <w:abstractNumId w:val="1"/>
  </w:num>
  <w:num w:numId="336">
    <w:abstractNumId w:val="1"/>
  </w:num>
  <w:num w:numId="337">
    <w:abstractNumId w:val="1"/>
  </w:num>
  <w:num w:numId="338">
    <w:abstractNumId w:val="1"/>
  </w:num>
  <w:num w:numId="339">
    <w:abstractNumId w:val="1"/>
  </w:num>
  <w:num w:numId="340">
    <w:abstractNumId w:val="1"/>
  </w:num>
  <w:num w:numId="341">
    <w:abstractNumId w:val="1"/>
  </w:num>
  <w:num w:numId="342">
    <w:abstractNumId w:val="1"/>
  </w:num>
  <w:num w:numId="343">
    <w:abstractNumId w:val="1"/>
  </w:num>
  <w:num w:numId="344">
    <w:abstractNumId w:val="1"/>
  </w:num>
  <w:num w:numId="345">
    <w:abstractNumId w:val="1"/>
  </w:num>
  <w:num w:numId="346">
    <w:abstractNumId w:val="1"/>
  </w:num>
  <w:num w:numId="347">
    <w:abstractNumId w:val="1"/>
  </w:num>
  <w:num w:numId="348">
    <w:abstractNumId w:val="1"/>
  </w:num>
  <w:num w:numId="349">
    <w:abstractNumId w:val="1"/>
  </w:num>
  <w:num w:numId="350">
    <w:abstractNumId w:val="1"/>
  </w:num>
  <w:num w:numId="351">
    <w:abstractNumId w:val="1"/>
  </w:num>
  <w:num w:numId="352">
    <w:abstractNumId w:val="1"/>
  </w:num>
  <w:num w:numId="353">
    <w:abstractNumId w:val="1"/>
  </w:num>
  <w:num w:numId="354">
    <w:abstractNumId w:val="1"/>
  </w:num>
  <w:num w:numId="355">
    <w:abstractNumId w:val="1"/>
  </w:num>
  <w:num w:numId="356">
    <w:abstractNumId w:val="1"/>
  </w:num>
  <w:num w:numId="357">
    <w:abstractNumId w:val="1"/>
  </w:num>
  <w:num w:numId="358">
    <w:abstractNumId w:val="1"/>
  </w:num>
  <w:num w:numId="359">
    <w:abstractNumId w:val="1"/>
  </w:num>
  <w:num w:numId="360">
    <w:abstractNumId w:val="1"/>
  </w:num>
  <w:num w:numId="361">
    <w:abstractNumId w:val="1"/>
  </w:num>
  <w:num w:numId="362">
    <w:abstractNumId w:val="1"/>
  </w:num>
  <w:num w:numId="363">
    <w:abstractNumId w:val="1"/>
  </w:num>
  <w:num w:numId="364">
    <w:abstractNumId w:val="1"/>
  </w:num>
  <w:num w:numId="365">
    <w:abstractNumId w:val="169"/>
    <w:lvlOverride w:ilvl="0">
      <w:startOverride w:val="1"/>
    </w:lvlOverride>
  </w:num>
  <w:num w:numId="366">
    <w:abstractNumId w:val="169"/>
  </w:num>
  <w:num w:numId="367">
    <w:abstractNumId w:val="169"/>
  </w:num>
  <w:num w:numId="368">
    <w:abstractNumId w:val="169"/>
  </w:num>
  <w:num w:numId="369">
    <w:abstractNumId w:val="169"/>
  </w:num>
  <w:num w:numId="370">
    <w:abstractNumId w:val="1"/>
  </w:num>
  <w:num w:numId="371">
    <w:abstractNumId w:val="1"/>
  </w:num>
  <w:num w:numId="372">
    <w:abstractNumId w:val="169"/>
    <w:lvlOverride w:ilvl="0">
      <w:startOverride w:val="1"/>
    </w:lvlOverride>
  </w:num>
  <w:num w:numId="373">
    <w:abstractNumId w:val="169"/>
  </w:num>
  <w:num w:numId="374">
    <w:abstractNumId w:val="169"/>
  </w:num>
  <w:num w:numId="375">
    <w:abstractNumId w:val="1"/>
  </w:num>
  <w:num w:numId="376">
    <w:abstractNumId w:val="1"/>
  </w:num>
  <w:num w:numId="377">
    <w:abstractNumId w:val="1"/>
  </w:num>
  <w:num w:numId="378">
    <w:abstractNumId w:val="1"/>
  </w:num>
  <w:num w:numId="379">
    <w:abstractNumId w:val="1"/>
  </w:num>
  <w:num w:numId="380">
    <w:abstractNumId w:val="1"/>
  </w:num>
  <w:num w:numId="381">
    <w:abstractNumId w:val="1"/>
  </w:num>
  <w:num w:numId="382">
    <w:abstractNumId w:val="1"/>
  </w:num>
  <w:num w:numId="383">
    <w:abstractNumId w:val="1"/>
  </w:num>
  <w:num w:numId="384">
    <w:abstractNumId w:val="1"/>
  </w:num>
  <w:num w:numId="385">
    <w:abstractNumId w:val="1"/>
  </w:num>
  <w:num w:numId="386">
    <w:abstractNumId w:val="1"/>
  </w:num>
  <w:num w:numId="387">
    <w:abstractNumId w:val="1"/>
  </w:num>
  <w:num w:numId="388">
    <w:abstractNumId w:val="1"/>
  </w:num>
  <w:num w:numId="389">
    <w:abstractNumId w:val="1"/>
  </w:num>
  <w:num w:numId="390">
    <w:abstractNumId w:val="1"/>
  </w:num>
  <w:num w:numId="391">
    <w:abstractNumId w:val="1"/>
  </w:num>
  <w:num w:numId="392">
    <w:abstractNumId w:val="1"/>
  </w:num>
  <w:num w:numId="393">
    <w:abstractNumId w:val="1"/>
  </w:num>
  <w:num w:numId="394">
    <w:abstractNumId w:val="169"/>
    <w:lvlOverride w:ilvl="0">
      <w:startOverride w:val="1"/>
    </w:lvlOverride>
    <w:lvlOverride w:ilvl="1">
      <w:startOverride w:val="1"/>
    </w:lvlOverride>
  </w:num>
  <w:num w:numId="395">
    <w:abstractNumId w:val="169"/>
  </w:num>
  <w:num w:numId="396">
    <w:abstractNumId w:val="169"/>
  </w:num>
  <w:num w:numId="397">
    <w:abstractNumId w:val="169"/>
  </w:num>
  <w:num w:numId="398">
    <w:abstractNumId w:val="169"/>
  </w:num>
</w:numbering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compat>
    <w:compatSetting w:name="compatibilityMode" w:uri="http://schemas.microsoft.com/office/word" w:val="12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" w:cs="" w:asciiTheme="minorHAnsi" w:cstheme="minorBidi" w:eastAsiaTheme="minorEastAsia" w:hAnsiTheme="minorHAnsi"/>
        <w:sz w:val="24"/>
        <w:szCs w:val="24"/>
        <w:lang w:val="en-US" w:eastAsia="zh-CN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76"/>
  <w:style w:type="paragraph" w:styleId="Normal" w:default="1">
    <w:name w:val="Normal"/>
    <w:qFormat/>
    <w:pPr>
      <w:widowControl/>
      <w:suppressAutoHyphens w:val="true"/>
      <w:bidi w:val="0"/>
      <w:spacing w:before="0" w:after="200"/>
      <w:jc w:val="left"/>
    </w:pPr>
    <w:rPr>
      <w:rFonts w:ascii="Aptos" w:hAnsi="Aptos" w:eastAsia="" w:cs="" w:asciiTheme="minorHAnsi" w:cstheme="minorBidi" w:eastAsiaTheme="minorEastAsia" w:hAnsiTheme="minorHAnsi"/>
      <w:color w:val="auto"/>
      <w:kern w:val="0"/>
      <w:sz w:val="24"/>
      <w:szCs w:val="24"/>
      <w:lang w:val="en-US" w:eastAsia="zh-CN" w:bidi="ar-SA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TitleChar" w:customStyle="1">
    <w:name w:val="Title Char"/>
    <w:basedOn w:val="DefaultParagraphFont"/>
    <w:link w:val="Title"/>
    <w:uiPriority w:val="10"/>
    <w:qFormat/>
    <w:rsid w:val="00a10fd9"/>
    <w:rPr>
      <w:rFonts w:ascii="Aptos Display" w:hAnsi="Aptos Display" w:eastAsia="" w:cs="" w:asciiTheme="majorHAnsi" w:cstheme="majorBidi" w:eastAsiaTheme="majorEastAsia" w:hAnsiTheme="majorHAnsi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a10fd9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Heading1Char" w:customStyle="1">
    <w:name w:val="Heading 1 Char"/>
    <w:basedOn w:val="DefaultParagraphFont"/>
    <w:link w:val="Heading1"/>
    <w:uiPriority w:val="9"/>
    <w:qFormat/>
    <w:rsid w:val="00a10fd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a10fd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a10fd9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a10fd9"/>
    <w:rPr>
      <w:rFonts w:eastAsia="" w:cs="" w:cstheme="majorBidi" w:eastAsiaTheme="majorEastAsia"/>
      <w:i/>
      <w:iCs/>
      <w:color w:themeColor="accent1" w:themeShade="bf" w:val="0F4761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a10fd9"/>
    <w:rPr>
      <w:rFonts w:eastAsia="" w:cs="" w:cstheme="majorBidi" w:eastAsiaTheme="majorEastAsia"/>
      <w:color w:themeColor="accent1" w:themeShade="bf" w:val="0F4761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a10fd9"/>
    <w:rPr>
      <w:rFonts w:eastAsia="" w:cs="" w:cstheme="majorBidi" w:eastAsiaTheme="majorEastAsia"/>
      <w:i/>
      <w:iCs/>
      <w:color w:themeColor="text1" w:themeTint="a6" w:val="595959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a10fd9"/>
    <w:rPr>
      <w:rFonts w:eastAsia="" w:cs="" w:cstheme="majorBidi" w:eastAsiaTheme="majorEastAsia"/>
      <w:color w:themeColor="text1" w:themeTint="a6" w:val="595959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a10fd9"/>
    <w:rPr>
      <w:rFonts w:eastAsia="" w:cs="" w:cstheme="majorBidi" w:eastAsiaTheme="majorEastAsia"/>
      <w:i/>
      <w:iCs/>
      <w:color w:themeColor="text1" w:themeTint="d8" w:val="272727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a10fd9"/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semiHidden/>
    <w:unhideWhenUsed/>
    <w:qFormat/>
    <w:rPr/>
  </w:style>
  <w:style w:type="character" w:styleId="BodyTextChar" w:customStyle="1">
    <w:name w:val="Body Text Char"/>
    <w:basedOn w:val="DefaultParagraphFont"/>
    <w:qFormat/>
    <w:rPr/>
  </w:style>
  <w:style w:type="character" w:styleId="VerbatimChar" w:customStyle="1">
    <w:name w:val="Verbatim Char"/>
    <w:basedOn w:val="BodyTextChar"/>
    <w:qFormat/>
    <w:rPr>
      <w:rFonts w:ascii="Consolas" w:hAnsi="Consolas"/>
      <w:sz w:val="22"/>
    </w:rPr>
  </w:style>
  <w:style w:type="character" w:styleId="SectionNumber" w:customStyle="1">
    <w:name w:val="Section Number"/>
    <w:basedOn w:val="BodyTextChar"/>
    <w:qFormat/>
    <w:rPr/>
  </w:style>
  <w:style w:type="character" w:styleId="FootnoteCharacters">
    <w:name w:val="Footnote Characters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Hyperlink">
    <w:name w:val="Hyperlink"/>
    <w:basedOn w:val="BodyTextChar"/>
    <w:rPr>
      <w:color w:themeColor="accent1" w:val="4F81BD"/>
    </w:rPr>
  </w:style>
  <w:style w:type="character" w:styleId="KeywordTok" w:customStyle="1">
    <w:name w:val="KeywordTok"/>
    <w:basedOn w:val="VerbatimChar"/>
    <w:qFormat/>
    <w:rPr>
      <w:b/>
      <w:color w:val="204A87"/>
      <w:shd w:fill="F8F8F8" w:val="clear"/>
    </w:rPr>
  </w:style>
  <w:style w:type="character" w:styleId="DataTypeTok" w:customStyle="1">
    <w:name w:val="DataTypeTok"/>
    <w:basedOn w:val="VerbatimChar"/>
    <w:qFormat/>
    <w:rPr>
      <w:color w:val="204A87"/>
      <w:shd w:fill="F8F8F8" w:val="clear"/>
    </w:rPr>
  </w:style>
  <w:style w:type="character" w:styleId="DecValTok" w:customStyle="1">
    <w:name w:val="DecValTok"/>
    <w:basedOn w:val="VerbatimChar"/>
    <w:qFormat/>
    <w:rPr>
      <w:color w:val="0000CF"/>
      <w:shd w:fill="F8F8F8" w:val="clear"/>
    </w:rPr>
  </w:style>
  <w:style w:type="character" w:styleId="BaseNTok" w:customStyle="1">
    <w:name w:val="BaseNTok"/>
    <w:basedOn w:val="VerbatimChar"/>
    <w:qFormat/>
    <w:rPr>
      <w:color w:val="0000CF"/>
      <w:shd w:fill="F8F8F8" w:val="clear"/>
    </w:rPr>
  </w:style>
  <w:style w:type="character" w:styleId="FloatTok" w:customStyle="1">
    <w:name w:val="FloatTok"/>
    <w:basedOn w:val="VerbatimChar"/>
    <w:qFormat/>
    <w:rPr>
      <w:color w:val="0000CF"/>
      <w:shd w:fill="F8F8F8" w:val="clear"/>
    </w:rPr>
  </w:style>
  <w:style w:type="character" w:styleId="ConstantTok" w:customStyle="1">
    <w:name w:val="ConstantTok"/>
    <w:basedOn w:val="VerbatimChar"/>
    <w:qFormat/>
    <w:rPr>
      <w:color w:val="8F5902"/>
      <w:shd w:fill="F8F8F8" w:val="clear"/>
    </w:rPr>
  </w:style>
  <w:style w:type="character" w:styleId="CharTok" w:customStyle="1">
    <w:name w:val="CharTok"/>
    <w:basedOn w:val="VerbatimChar"/>
    <w:qFormat/>
    <w:rPr>
      <w:color w:val="4E9A06"/>
      <w:shd w:fill="F8F8F8" w:val="clear"/>
    </w:rPr>
  </w:style>
  <w:style w:type="character" w:styleId="SpecialCharTok" w:customStyle="1">
    <w:name w:val="SpecialCharTok"/>
    <w:basedOn w:val="VerbatimChar"/>
    <w:qFormat/>
    <w:rPr>
      <w:b/>
      <w:color w:val="CE5C00"/>
      <w:shd w:fill="F8F8F8" w:val="clear"/>
    </w:rPr>
  </w:style>
  <w:style w:type="character" w:styleId="StringTok" w:customStyle="1">
    <w:name w:val="StringTok"/>
    <w:basedOn w:val="VerbatimChar"/>
    <w:qFormat/>
    <w:rPr>
      <w:color w:val="4E9A06"/>
      <w:shd w:fill="F8F8F8" w:val="clear"/>
    </w:rPr>
  </w:style>
  <w:style w:type="character" w:styleId="VerbatimStringTok" w:customStyle="1">
    <w:name w:val="VerbatimStringTok"/>
    <w:basedOn w:val="VerbatimChar"/>
    <w:qFormat/>
    <w:rPr>
      <w:color w:val="4E9A06"/>
      <w:shd w:fill="F8F8F8" w:val="clear"/>
    </w:rPr>
  </w:style>
  <w:style w:type="character" w:styleId="SpecialStringTok" w:customStyle="1">
    <w:name w:val="SpecialStringTok"/>
    <w:basedOn w:val="VerbatimChar"/>
    <w:qFormat/>
    <w:rPr>
      <w:color w:val="4E9A06"/>
      <w:shd w:fill="F8F8F8" w:val="clear"/>
    </w:rPr>
  </w:style>
  <w:style w:type="character" w:styleId="ImportTok" w:customStyle="1">
    <w:name w:val="ImportTok"/>
    <w:basedOn w:val="VerbatimChar"/>
    <w:qFormat/>
    <w:rPr>
      <w:shd w:fill="F8F8F8" w:val="clear"/>
    </w:rPr>
  </w:style>
  <w:style w:type="character" w:styleId="CommentTok" w:customStyle="1">
    <w:name w:val="CommentTok"/>
    <w:basedOn w:val="VerbatimChar"/>
    <w:qFormat/>
    <w:rPr>
      <w:i/>
      <w:color w:val="8F5902"/>
      <w:shd w:fill="F8F8F8" w:val="clear"/>
    </w:rPr>
  </w:style>
  <w:style w:type="character" w:styleId="DocumentationTok" w:customStyle="1">
    <w:name w:val="DocumentationTok"/>
    <w:basedOn w:val="VerbatimChar"/>
    <w:qFormat/>
    <w:rPr>
      <w:b/>
      <w:i/>
      <w:color w:val="8F5902"/>
      <w:shd w:fill="F8F8F8" w:val="clear"/>
    </w:rPr>
  </w:style>
  <w:style w:type="character" w:styleId="AnnotationTok" w:customStyle="1">
    <w:name w:val="AnnotationTok"/>
    <w:basedOn w:val="VerbatimChar"/>
    <w:qFormat/>
    <w:rPr>
      <w:b/>
      <w:i/>
      <w:color w:val="8F5902"/>
      <w:shd w:fill="F8F8F8" w:val="clear"/>
    </w:rPr>
  </w:style>
  <w:style w:type="character" w:styleId="CommentVarTok" w:customStyle="1">
    <w:name w:val="CommentVarTok"/>
    <w:basedOn w:val="VerbatimChar"/>
    <w:qFormat/>
    <w:rPr>
      <w:b/>
      <w:i/>
      <w:color w:val="8F5902"/>
      <w:shd w:fill="F8F8F8" w:val="clear"/>
    </w:rPr>
  </w:style>
  <w:style w:type="character" w:styleId="OtherTok" w:customStyle="1">
    <w:name w:val="OtherTok"/>
    <w:basedOn w:val="VerbatimChar"/>
    <w:qFormat/>
    <w:rPr>
      <w:color w:val="8F5902"/>
      <w:shd w:fill="F8F8F8" w:val="clear"/>
    </w:rPr>
  </w:style>
  <w:style w:type="character" w:styleId="FunctionTok" w:customStyle="1">
    <w:name w:val="FunctionTok"/>
    <w:basedOn w:val="VerbatimChar"/>
    <w:qFormat/>
    <w:rPr>
      <w:b/>
      <w:color w:val="204A87"/>
      <w:shd w:fill="F8F8F8" w:val="clear"/>
    </w:rPr>
  </w:style>
  <w:style w:type="character" w:styleId="VariableTok" w:customStyle="1">
    <w:name w:val="VariableTok"/>
    <w:basedOn w:val="VerbatimChar"/>
    <w:qFormat/>
    <w:rPr>
      <w:color w:val="000000"/>
      <w:shd w:fill="F8F8F8" w:val="clear"/>
    </w:rPr>
  </w:style>
  <w:style w:type="character" w:styleId="ControlFlowTok" w:customStyle="1">
    <w:name w:val="ControlFlowTok"/>
    <w:basedOn w:val="VerbatimChar"/>
    <w:qFormat/>
    <w:rPr>
      <w:b/>
      <w:color w:val="204A87"/>
      <w:shd w:fill="F8F8F8" w:val="clear"/>
    </w:rPr>
  </w:style>
  <w:style w:type="character" w:styleId="OperatorTok" w:customStyle="1">
    <w:name w:val="OperatorTok"/>
    <w:basedOn w:val="VerbatimChar"/>
    <w:qFormat/>
    <w:rPr>
      <w:b/>
      <w:color w:val="CE5C00"/>
      <w:shd w:fill="F8F8F8" w:val="clear"/>
    </w:rPr>
  </w:style>
  <w:style w:type="character" w:styleId="BuiltInTok" w:customStyle="1">
    <w:name w:val="BuiltInTok"/>
    <w:basedOn w:val="VerbatimChar"/>
    <w:qFormat/>
    <w:rPr>
      <w:shd w:fill="F8F8F8" w:val="clear"/>
    </w:rPr>
  </w:style>
  <w:style w:type="character" w:styleId="ExtensionTok" w:customStyle="1">
    <w:name w:val="ExtensionTok"/>
    <w:basedOn w:val="VerbatimChar"/>
    <w:qFormat/>
    <w:rPr>
      <w:shd w:fill="F8F8F8" w:val="clear"/>
    </w:rPr>
  </w:style>
  <w:style w:type="character" w:styleId="PreprocessorTok" w:customStyle="1">
    <w:name w:val="PreprocessorTok"/>
    <w:basedOn w:val="VerbatimChar"/>
    <w:qFormat/>
    <w:rPr>
      <w:i/>
      <w:color w:val="8F5902"/>
      <w:shd w:fill="F8F8F8" w:val="clear"/>
    </w:rPr>
  </w:style>
  <w:style w:type="character" w:styleId="AttributeTok" w:customStyle="1">
    <w:name w:val="AttributeTok"/>
    <w:basedOn w:val="VerbatimChar"/>
    <w:qFormat/>
    <w:rPr>
      <w:color w:val="204A87"/>
      <w:shd w:fill="F8F8F8" w:val="clear"/>
    </w:rPr>
  </w:style>
  <w:style w:type="character" w:styleId="RegionMarkerTok" w:customStyle="1">
    <w:name w:val="RegionMarkerTok"/>
    <w:basedOn w:val="VerbatimChar"/>
    <w:qFormat/>
    <w:rPr>
      <w:shd w:fill="F8F8F8" w:val="clear"/>
    </w:rPr>
  </w:style>
  <w:style w:type="character" w:styleId="InformationTok" w:customStyle="1">
    <w:name w:val="InformationTok"/>
    <w:basedOn w:val="VerbatimChar"/>
    <w:qFormat/>
    <w:rPr>
      <w:b/>
      <w:i/>
      <w:color w:val="8F5902"/>
      <w:shd w:fill="F8F8F8" w:val="clear"/>
    </w:rPr>
  </w:style>
  <w:style w:type="character" w:styleId="WarningTok" w:customStyle="1">
    <w:name w:val="WarningTok"/>
    <w:basedOn w:val="VerbatimChar"/>
    <w:qFormat/>
    <w:rPr>
      <w:b/>
      <w:i/>
      <w:color w:val="8F5902"/>
      <w:shd w:fill="F8F8F8" w:val="clear"/>
    </w:rPr>
  </w:style>
  <w:style w:type="character" w:styleId="AlertTok" w:customStyle="1">
    <w:name w:val="AlertTok"/>
    <w:basedOn w:val="VerbatimChar"/>
    <w:qFormat/>
    <w:rPr>
      <w:color w:val="EF2929"/>
      <w:shd w:fill="F8F8F8" w:val="clear"/>
    </w:rPr>
  </w:style>
  <w:style w:type="character" w:styleId="ErrorTok" w:customStyle="1">
    <w:name w:val="ErrorTok"/>
    <w:basedOn w:val="VerbatimChar"/>
    <w:qFormat/>
    <w:rPr>
      <w:b/>
      <w:color w:val="A40000"/>
      <w:shd w:fill="F8F8F8" w:val="clear"/>
    </w:rPr>
  </w:style>
  <w:style w:type="character" w:styleId="NormalTok" w:customStyle="1">
    <w:name w:val="NormalTok"/>
    <w:basedOn w:val="VerbatimChar"/>
    <w:qFormat/>
    <w:rPr>
      <w:shd w:fill="F8F8F8" w:val="clear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M Roman 12:cpsp=1&amp;onum=1&amp;pnum=1&amp;nfsp=1&amp;salt=1&amp;ss05=1&amp;dash=1&amp;itlc=1&amp;minu=1&amp;quot=1&amp;thou=0" w:hAnsi="LM Roman 12:cpsp=1&amp;onum=1&amp;pnum=1&amp;nfsp=1&amp;salt=1&amp;ss05=1&amp;dash=1&amp;itlc=1&amp;minu=1&amp;quot=1&amp;thou=0" w:eastAsia="Noto Sans CJK SC" w:cs="Noto Sans Devanagari"/>
      <w:sz w:val="28"/>
      <w:szCs w:val="28"/>
    </w:rPr>
  </w:style>
  <w:style w:type="paragraph" w:styleId="BodyText">
    <w:name w:val="Body Text"/>
    <w:basedOn w:val="Normal"/>
    <w:link w:val="BodyTextChar"/>
    <w:qFormat/>
    <w:pPr>
      <w:spacing w:before="180" w:after="180"/>
    </w:pPr>
    <w:rPr/>
  </w:style>
  <w:style w:type="paragraph" w:styleId="List">
    <w:name w:val="List"/>
    <w:basedOn w:val="BodyText"/>
    <w:pPr/>
    <w:rPr>
      <w:rFonts w:ascii="LM Roman 12:cpsp=1&amp;onum=1&amp;pnum=1&amp;nfsp=1&amp;salt=1&amp;ss05=1&amp;dash=1&amp;itlc=1&amp;minu=1&amp;quot=1&amp;thou=0" w:hAnsi="LM Roman 12:cpsp=1&amp;onum=1&amp;pnum=1&amp;nfsp=1&amp;salt=1&amp;ss05=1&amp;dash=1&amp;itlc=1&amp;minu=1&amp;quot=1&amp;thou=0" w:cs="Noto Sans Devanagari"/>
    </w:rPr>
  </w:style>
  <w:style w:type="paragraph" w:styleId="Caption">
    <w:name w:val="Caption"/>
    <w:basedOn w:val="Normal"/>
    <w:link w:val="BodyTextChar"/>
    <w:qFormat/>
    <w:pPr>
      <w:spacing w:before="0" w:after="120"/>
    </w:pPr>
    <w:rPr>
      <w:i/>
    </w:rPr>
  </w:style>
  <w:style w:type="paragraph" w:styleId="Index">
    <w:name w:val="Index"/>
    <w:basedOn w:val="Normal"/>
    <w:qFormat/>
    <w:pPr>
      <w:suppressLineNumbers/>
    </w:pPr>
    <w:rPr>
      <w:rFonts w:ascii="LM Roman 12:cpsp=1&amp;onum=1&amp;pnum=1&amp;nfsp=1&amp;salt=1&amp;ss05=1&amp;dash=1&amp;itlc=1&amp;minu=1&amp;quot=1&amp;thou=0" w:hAnsi="LM Roman 12:cpsp=1&amp;onum=1&amp;pnum=1&amp;nfsp=1&amp;salt=1&amp;ss05=1&amp;dash=1&amp;itlc=1&amp;minu=1&amp;quot=1&amp;thou=0" w:cs="Noto Sans Devanagari"/>
    </w:rPr>
  </w:style>
  <w:style w:type="paragraph" w:styleId="FirstParagraph" w:customStyle="1">
    <w:name w:val="First Paragraph"/>
    <w:basedOn w:val="BodyText"/>
    <w:next w:val="BodyText"/>
    <w:qFormat/>
    <w:pPr/>
    <w:rPr/>
  </w:style>
  <w:style w:type="paragraph" w:styleId="Compact" w:customStyle="1">
    <w:name w:val="Compact"/>
    <w:basedOn w:val="BodyText"/>
    <w:qFormat/>
    <w:pPr>
      <w:spacing w:before="36" w:after="36"/>
    </w:pPr>
    <w:rPr/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lineRule="auto" w:line="240" w:before="0" w:after="80"/>
      <w:contextualSpacing/>
      <w:jc w:val="center"/>
    </w:pPr>
    <w:rPr>
      <w:rFonts w:ascii="Aptos Display" w:hAnsi="Aptos Display" w:eastAsia="" w:cs="" w:asciiTheme="majorHAnsi" w:cstheme="majorBidi" w:eastAsiaTheme="majorEastAsia" w:hAnsiTheme="majorHAnsi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/>
    <w:rPr>
      <w:rFonts w:eastAsia="" w:cs="" w:cstheme="majorBidi" w:eastAsiaTheme="majorEastAsia"/>
      <w:spacing w:val="15"/>
      <w:sz w:val="28"/>
      <w:szCs w:val="28"/>
    </w:rPr>
  </w:style>
  <w:style w:type="paragraph" w:styleId="Author" w:customStyle="1">
    <w:name w:val="Author"/>
    <w:basedOn w:val="Title"/>
    <w:next w:val="BodyText"/>
    <w:qFormat/>
    <w:pPr>
      <w:keepNext w:val="true"/>
      <w:keepLines/>
    </w:pPr>
    <w:rPr>
      <w:sz w:val="24"/>
      <w:szCs w:val="24"/>
    </w:rPr>
  </w:style>
  <w:style w:type="paragraph" w:styleId="Date">
    <w:name w:val="Date"/>
    <w:basedOn w:val="Title"/>
    <w:next w:val="BodyText"/>
    <w:qFormat/>
    <w:pPr>
      <w:keepNext w:val="true"/>
      <w:keepLines/>
    </w:pPr>
    <w:rPr>
      <w:sz w:val="24"/>
      <w:szCs w:val="24"/>
    </w:rPr>
  </w:style>
  <w:style w:type="paragraph" w:styleId="AbstractTitle" w:customStyle="1">
    <w:name w:val="Abstract Title"/>
    <w:basedOn w:val="Normal"/>
    <w:next w:val="Abstract"/>
    <w:qFormat/>
    <w:pPr>
      <w:keepNext w:val="true"/>
      <w:keepLines/>
      <w:spacing w:before="300" w:after="0"/>
      <w:jc w:val="center"/>
    </w:pPr>
    <w:rPr>
      <w:b/>
      <w:sz w:val="20"/>
      <w:szCs w:val="20"/>
    </w:rPr>
  </w:style>
  <w:style w:type="paragraph" w:styleId="Abstract" w:customStyle="1">
    <w:name w:val="Abstract"/>
    <w:basedOn w:val="Normal"/>
    <w:next w:val="BodyText"/>
    <w:qFormat/>
    <w:pPr>
      <w:keepNext w:val="true"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  <w:pPr/>
    <w:rPr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hanging="0" w:left="480" w:right="480"/>
    </w:pPr>
    <w:rPr/>
  </w:style>
  <w:style w:type="paragraph" w:styleId="FootnoteText">
    <w:name w:val="Footnote Text"/>
    <w:basedOn w:val="Normal"/>
    <w:uiPriority w:val="9"/>
    <w:unhideWhenUsed/>
    <w:qFormat/>
    <w:pPr/>
    <w:rPr/>
  </w:style>
  <w:style w:type="paragraph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hanging="0" w:left="480" w:right="480"/>
    </w:pPr>
    <w:rPr/>
  </w:style>
  <w:style w:type="paragraph" w:styleId="DefinitionTerm" w:customStyle="1">
    <w:name w:val="Definition Term"/>
    <w:basedOn w:val="Normal"/>
    <w:next w:val="Definition"/>
    <w:qFormat/>
    <w:pPr>
      <w:keepNext w:val="true"/>
      <w:keepLines/>
      <w:spacing w:before="0" w:after="0"/>
    </w:pPr>
    <w:rPr>
      <w:b/>
    </w:rPr>
  </w:style>
  <w:style w:type="paragraph" w:styleId="Definition" w:customStyle="1">
    <w:name w:val="Definition"/>
    <w:basedOn w:val="Normal"/>
    <w:qFormat/>
    <w:pPr/>
    <w:rPr/>
  </w:style>
  <w:style w:type="paragraph" w:styleId="TableCaption" w:customStyle="1">
    <w:name w:val="Table Caption"/>
    <w:basedOn w:val="Caption"/>
    <w:qFormat/>
    <w:pPr>
      <w:keepNext w:val="true"/>
    </w:pPr>
    <w:rPr/>
  </w:style>
  <w:style w:type="paragraph" w:styleId="ImageCaption" w:customStyle="1">
    <w:name w:val="Image Caption"/>
    <w:basedOn w:val="Caption"/>
    <w:qFormat/>
    <w:pPr/>
    <w:rPr/>
  </w:style>
  <w:style w:type="paragraph" w:styleId="Figure" w:customStyle="1">
    <w:name w:val="Figure"/>
    <w:basedOn w:val="Normal"/>
    <w:qFormat/>
    <w:pPr/>
    <w:rPr/>
  </w:style>
  <w:style w:type="paragraph" w:styleId="CaptionedFigure" w:customStyle="1">
    <w:name w:val="Captioned Figure"/>
    <w:basedOn w:val="Figure"/>
    <w:qFormat/>
    <w:pPr>
      <w:keepNext w:val="true"/>
    </w:pPr>
    <w:rPr/>
  </w:style>
  <w:style w:type="paragraph" w:styleId="IndexHeading">
    <w:name w:val="Index Heading"/>
    <w:basedOn w:val="Heading"/>
    <w:pPr/>
    <w:rPr/>
  </w:style>
  <w:style w:type="paragraph" w:styleId="TOCHeading">
    <w:name w:val="TOC Heading"/>
    <w:basedOn w:val="Heading1"/>
    <w:next w:val="BodyText"/>
    <w:uiPriority w:val="39"/>
    <w:unhideWhenUsed/>
    <w:qFormat/>
    <w:pPr>
      <w:spacing w:lineRule="auto" w:line="259" w:before="240" w:after="80"/>
      <w:outlineLvl w:val="9"/>
    </w:pPr>
    <w:rPr>
      <w:rFonts w:ascii="Aptos Display" w:hAnsi="Aptos Display" w:eastAsia="" w:cs="" w:asciiTheme="majorHAnsi" w:cstheme="majorBidi" w:eastAsiaTheme="majorEastAsia" w:hAnsiTheme="majorHAnsi"/>
      <w:b w:val="false"/>
      <w:bCs w:val="false"/>
      <w:color w:themeColor="accent1" w:themeShade="bf" w:val="365F91"/>
    </w:rPr>
  </w:style>
  <w:style w:type="paragraph" w:styleId="SourceCode" w:customStyle="1">
    <w:name w:val="Source Code"/>
    <w:basedOn w:val="Normal"/>
    <w:link w:val="VerbatimChar"/>
    <w:qFormat/>
    <w:pPr>
      <w:shd w:val="clear" w:fill="F8F8F8"/>
    </w:pPr>
    <w:rPr/>
  </w:style>
  <w:style w:type="table" w:default="1" w:styleId="Table">
    <w:name w:val="Table"/>
    <w:basedOn w:val="TableNormal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/>
        </w:tcBorders>
        <w:vAlign w:val="bottom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r-project.org/" TargetMode="External"/><Relationship Id="rId3" Type="http://schemas.openxmlformats.org/officeDocument/2006/relationships/hyperlink" Target="https://www.rstudio.com/" TargetMode="External"/><Relationship Id="rId4" Type="http://schemas.openxmlformats.org/officeDocument/2006/relationships/hyperlink" Target="https://www.rdocumentation.org/packages/base/versions/3.6.2/topics/data.frame" TargetMode="External"/><Relationship Id="rId5" Type="http://schemas.openxmlformats.org/officeDocument/2006/relationships/hyperlink" Target="https://www.rdocumentation.org/packages/base/versions/3.6.2/topics/c" TargetMode="External"/><Relationship Id="rId6" Type="http://schemas.openxmlformats.org/officeDocument/2006/relationships/hyperlink" Target="https://www.rdocumentation.org/packages/base/versions/3.6.2/topics/library" TargetMode="External"/><Relationship Id="rId7" Type="http://schemas.openxmlformats.org/officeDocument/2006/relationships/hyperlink" Target="https://yihui.org/knitr/" TargetMode="External"/><Relationship Id="rId8" Type="http://schemas.openxmlformats.org/officeDocument/2006/relationships/hyperlink" Target="https://haozhu233.github.io/kableExtra/" TargetMode="External"/><Relationship Id="rId9" Type="http://schemas.openxmlformats.org/officeDocument/2006/relationships/hyperlink" Target="https://bookdown.org/yihui/rmarkdown-cookbook/kable.html" TargetMode="External"/><Relationship Id="rId10" Type="http://schemas.openxmlformats.org/officeDocument/2006/relationships/hyperlink" Target="https://canaytore.github.io/tidyverse-learnings/introducing-the-operator.html" TargetMode="External"/><Relationship Id="rId11" Type="http://schemas.openxmlformats.org/officeDocument/2006/relationships/hyperlink" Target="https://www.codingem.com/how-to-use-dollar-sign-in-r/" TargetMode="External"/><Relationship Id="rId12" Type="http://schemas.openxmlformats.org/officeDocument/2006/relationships/image" Target="media/image1.png"/><Relationship Id="rId13" Type="http://schemas.openxmlformats.org/officeDocument/2006/relationships/hyperlink" Target="https://articles.viriya.net/factors_influencing_long-term_opioid_use_among_opioid_naive_patients_an_examination_of_initial_prescription_characteristics_and_pain_etiologies.pdf" TargetMode="External"/><Relationship Id="rId14" Type="http://schemas.openxmlformats.org/officeDocument/2006/relationships/hyperlink" Target="https://articles.viriya.net/dedicated_automatic_recall_hepatocellular_cancer_surveillance_programme_demonstrates_high_retention_a_populationbased_cohort_study.pdf" TargetMode="External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hyperlink" Target="https://stacker.com/stories/2343/odds-50-random-events-happening-you" TargetMode="External"/><Relationship Id="rId19" Type="http://schemas.openxmlformats.org/officeDocument/2006/relationships/hyperlink" Target="https://www2.tulane.edu/~sanelson/Natural_Disasters/impacts.htm" TargetMode="External"/><Relationship Id="rId20" Type="http://schemas.openxmlformats.org/officeDocument/2006/relationships/hyperlink" Target="https://www.cheatsheet.com/culture/how-likely-are-you-die-in-hurricane.html/" TargetMode="External"/><Relationship Id="rId21" Type="http://schemas.openxmlformats.org/officeDocument/2006/relationships/hyperlink" Target="https://injuryfacts.nsc.org/all-injuries/preventable-death-overview/odds-of-dying/?utm_source=chatgpt.com" TargetMode="External"/><Relationship Id="rId22" Type="http://schemas.openxmlformats.org/officeDocument/2006/relationships/hyperlink" Target="https://injuryfacts.nsc.org/all-injuries/preventable-death-overview/odds-of-dying/" TargetMode="External"/><Relationship Id="rId23" Type="http://schemas.openxmlformats.org/officeDocument/2006/relationships/hyperlink" Target="https://www.procpr.org/blog/training/cpr-facts-and-stats" TargetMode="External"/><Relationship Id="rId24" Type="http://schemas.openxmlformats.org/officeDocument/2006/relationships/hyperlink" Target="https://www.nidcd.nih.gov/health/statistics/quick-statistics-hearing" TargetMode="External"/><Relationship Id="rId25" Type="http://schemas.openxmlformats.org/officeDocument/2006/relationships/hyperlink" Target="https://www.npr.org/2019/03/13/681621047/college-completion-rates-are-up-but-the-numbers-will-still-surprise-you" TargetMode="External"/><Relationship Id="rId26" Type="http://schemas.openxmlformats.org/officeDocument/2006/relationships/hyperlink" Target="https://www.npr.org/2019/03/13/681621047/college-completion-rates-are-up-but-the-numbers-will-still-surprise-you" TargetMode="External"/><Relationship Id="rId27" Type="http://schemas.openxmlformats.org/officeDocument/2006/relationships/hyperlink" Target="https://www.thecrimson.com/article/2018/3/29/harvard-regular-admissions-2022/" TargetMode="External"/><Relationship Id="rId28" Type="http://schemas.openxmlformats.org/officeDocument/2006/relationships/hyperlink" Target="https://www.usatoday.com/story/news/nation/2021/02/24/lgbtq-gallup-poll-more-us-adults-identify-lgbtq/4532664001/" TargetMode="External"/><Relationship Id="rId29" Type="http://schemas.openxmlformats.org/officeDocument/2006/relationships/hyperlink" Target="https://www.cnbc.com/2020/01/08/attention-taxpayers-irs-audits-have-fallen-significantly.html" TargetMode="External"/><Relationship Id="rId30" Type="http://schemas.openxmlformats.org/officeDocument/2006/relationships/hyperlink" Target="https://www.parents.com/pregnancy/giving-birth/labor-and-delivery/the-truth-about-due-dates/" TargetMode="External"/><Relationship Id="rId31" Type="http://schemas.openxmlformats.org/officeDocument/2006/relationships/hyperlink" Target="https://www.iii.org/fact-statistic/facts-statistics-auto-theft" TargetMode="External"/><Relationship Id="rId32" Type="http://schemas.openxmlformats.org/officeDocument/2006/relationships/hyperlink" Target="https://web.archive.org/web/20210305000734/https://bethematch.org/support-the-cause/donate-bone-marrow/join-the-marrow-registry/likelihood-you-will-donate/" TargetMode="External"/><Relationship Id="rId33" Type="http://schemas.openxmlformats.org/officeDocument/2006/relationships/hyperlink" Target="https://redcrosschat.org/2019/01/11/youre-more-likely-to-experience-a-home-fire-than-these-5-things/" TargetMode="External"/><Relationship Id="rId34" Type="http://schemas.openxmlformats.org/officeDocument/2006/relationships/hyperlink" Target="https://www.businessinsider.com/mass-shooting-gun-statistics-2018-2" TargetMode="External"/><Relationship Id="rId35" Type="http://schemas.openxmlformats.org/officeDocument/2006/relationships/hyperlink" Target="https://stacker.com/stories/art-culture/odds-50-random-events-happening-you" TargetMode="External"/><Relationship Id="rId36" Type="http://schemas.openxmlformats.org/officeDocument/2006/relationships/hyperlink" Target="https://www.statology.org/fishers-exact-test/" TargetMode="External"/><Relationship Id="rId37" Type="http://schemas.openxmlformats.org/officeDocument/2006/relationships/hyperlink" Target="https://stats.stackexchange.com/questions/1805/fishers-exact-test-in-contingency-tables-larger-than-2x2" TargetMode="External"/><Relationship Id="rId38" Type="http://schemas.openxmlformats.org/officeDocument/2006/relationships/hyperlink" Target="https://en.wikipedia.org/wiki/Muriel_Bristol" TargetMode="External"/><Relationship Id="rId39" Type="http://schemas.openxmlformats.org/officeDocument/2006/relationships/hyperlink" Target="https://www.sciencehistory.org/distillations/ronald-fisher-a-bad-cup-of-tea-and-the-birth-of-modern-statistics" TargetMode="External"/><Relationship Id="rId40" Type="http://schemas.openxmlformats.org/officeDocument/2006/relationships/image" Target="media/image5.png"/><Relationship Id="rId41" Type="http://schemas.openxmlformats.org/officeDocument/2006/relationships/hyperlink" Target="https://www.rdocumentation.org/packages/stats/versions/3.6.2/topics/fisher.test" TargetMode="External"/><Relationship Id="rId42" Type="http://schemas.openxmlformats.org/officeDocument/2006/relationships/hyperlink" Target="https://www.statology.org/summary-function-in-r/" TargetMode="External"/><Relationship Id="rId43" Type="http://schemas.openxmlformats.org/officeDocument/2006/relationships/hyperlink" Target="https://www.rdocumentation.org/packages/utils/versions/3.6.2/topics/str" TargetMode="External"/><Relationship Id="rId44" Type="http://schemas.openxmlformats.org/officeDocument/2006/relationships/hyperlink" Target="https://articles.viriya.net/the_outstanding_scientist_r_a_fisher_his_views_on_eugenics_and_race.pdf" TargetMode="External"/><Relationship Id="rId45" Type="http://schemas.openxmlformats.org/officeDocument/2006/relationships/hyperlink" Target="https://priceonomics.com/why-the-father-of-modern-statistics-didnt-believe/" TargetMode="External"/><Relationship Id="rId46" Type="http://schemas.openxmlformats.org/officeDocument/2006/relationships/hyperlink" Target="https://articles.viriya.net/is_fishers_exact_test_very_conservative.pdf" TargetMode="External"/><Relationship Id="rId47" Type="http://schemas.openxmlformats.org/officeDocument/2006/relationships/hyperlink" Target="https://www.iancampbell.co.uk/twobytwo/twobytwo.htm" TargetMode="External"/><Relationship Id="rId48" Type="http://schemas.openxmlformats.org/officeDocument/2006/relationships/hyperlink" Target="https://articles.viriya.net/how_conservative_is_fishers_exact_test_a_quantitative_evaluation_of_the_two-sample_comparative_binomial_trial.pdf" TargetMode="External"/><Relationship Id="rId49" Type="http://schemas.openxmlformats.org/officeDocument/2006/relationships/hyperlink" Target="https://articles.viriya.net/Graham-Fishers_Exact_Test.pdf" TargetMode="External"/><Relationship Id="rId50" Type="http://schemas.openxmlformats.org/officeDocument/2006/relationships/hyperlink" Target="https://stats.libretexts.org/Bookshelves/Applied_Statistics/Learning_Statistics_with_R_-_A_tutorial_for_Psychology_Students_and_other_Beginners_%28Navarro%29/17%3A_Bayesian_Statistics/17.06%3A_Bayesian_Analysis_of_Contingency_Tables" TargetMode="External"/><Relationship Id="rId51" Type="http://schemas.openxmlformats.org/officeDocument/2006/relationships/image" Target="media/image6.png"/><Relationship Id="rId52" Type="http://schemas.openxmlformats.org/officeDocument/2006/relationships/hyperlink" Target="https://www.ibm.com/docs/en/spss-statistics/beta?topic=types-q-q-plots" TargetMode="External"/><Relationship Id="rId53" Type="http://schemas.openxmlformats.org/officeDocument/2006/relationships/hyperlink" Target="https://www.statology.org/q-q-plot-r/" TargetMode="External"/><Relationship Id="rId54" Type="http://schemas.openxmlformats.org/officeDocument/2006/relationships/hyperlink" Target="https://www.automateexcel.com/charts/q-q-plot/" TargetMode="External"/><Relationship Id="rId55" Type="http://schemas.openxmlformats.org/officeDocument/2006/relationships/image" Target="media/image7.png"/><Relationship Id="rId56" Type="http://schemas.openxmlformats.org/officeDocument/2006/relationships/image" Target="media/image8.png"/><Relationship Id="rId57" Type="http://schemas.openxmlformats.org/officeDocument/2006/relationships/image" Target="media/image9.png"/><Relationship Id="rId58" Type="http://schemas.openxmlformats.org/officeDocument/2006/relationships/image" Target="media/image10.png"/><Relationship Id="rId59" Type="http://schemas.openxmlformats.org/officeDocument/2006/relationships/image" Target="media/image11.png"/><Relationship Id="rId60" Type="http://schemas.openxmlformats.org/officeDocument/2006/relationships/image" Target="media/image12.png"/><Relationship Id="rId61" Type="http://schemas.openxmlformats.org/officeDocument/2006/relationships/hyperlink" Target="https://www.rdocumentation.org/packages/EnvStats/versions/2.3.1/topics/qqPlot" TargetMode="External"/><Relationship Id="rId62" Type="http://schemas.openxmlformats.org/officeDocument/2006/relationships/image" Target="media/image13.png"/><Relationship Id="rId63" Type="http://schemas.openxmlformats.org/officeDocument/2006/relationships/hyperlink" Target="https://www.spss-tutorials.com/spss-kolmogorov-smirnov-test-for-normality/" TargetMode="External"/><Relationship Id="rId64" Type="http://schemas.openxmlformats.org/officeDocument/2006/relationships/hyperlink" Target="https://www.statology.org/kolmogorov-smirnov-test-r/" TargetMode="External"/><Relationship Id="rId65" Type="http://schemas.openxmlformats.org/officeDocument/2006/relationships/hyperlink" Target="https://www.spss-tutorials.com/spss-shapiro-wilk-test-for-normality/" TargetMode="External"/><Relationship Id="rId66" Type="http://schemas.openxmlformats.org/officeDocument/2006/relationships/hyperlink" Target="https://www.statology.org/shapiro-wilk-test-r/" TargetMode="External"/><Relationship Id="rId67" Type="http://schemas.openxmlformats.org/officeDocument/2006/relationships/hyperlink" Target="https://www.itl.nist.gov/div898/handbook/eda/section3/eda35e.htm" TargetMode="External"/><Relationship Id="rId68" Type="http://schemas.openxmlformats.org/officeDocument/2006/relationships/hyperlink" Target="https://www.statology.org/anderson-darling-test-r/" TargetMode="External"/><Relationship Id="rId69" Type="http://schemas.openxmlformats.org/officeDocument/2006/relationships/hyperlink" Target="https://articles.viriya.net/normality_tests_for_statistical_analysis_a_guide_for_non-statisticians.pdf" TargetMode="External"/><Relationship Id="rId70" Type="http://schemas.openxmlformats.org/officeDocument/2006/relationships/hyperlink" Target="https://articles.viriya.net/karl_pearson_and_the_chi-squared_testkarl_pearson_and_the_chi-squared_test.pdf" TargetMode="External"/><Relationship Id="rId71" Type="http://schemas.openxmlformats.org/officeDocument/2006/relationships/hyperlink" Target="https://www.britannica.com/biography/Karl-Pearson" TargetMode="External"/><Relationship Id="rId72" Type="http://schemas.openxmlformats.org/officeDocument/2006/relationships/hyperlink" Target="http://www.economics.soton.ac.uk/staff/aldrich/1900.pdf" TargetMode="External"/><Relationship Id="rId73" Type="http://schemas.openxmlformats.org/officeDocument/2006/relationships/hyperlink" Target="https://www.jmp.com/en_us/statistics-knowledge-portal/chi-square-test/chi-square-goodness-of-fit-test.html" TargetMode="External"/><Relationship Id="rId74" Type="http://schemas.openxmlformats.org/officeDocument/2006/relationships/hyperlink" Target="https://statisticsbyjim.com/probability/gamma-distribution/" TargetMode="External"/><Relationship Id="rId75" Type="http://schemas.openxmlformats.org/officeDocument/2006/relationships/hyperlink" Target="https://www.researchgate.net/profile/Dr-Mohit-Patralekh/post/How-is-t-distribution-realted-to-chi-and-normal-distributions/attachment/59d6415679197b807799d5b4/AS%3A434549562843138%401480616097789/download/introecon_gamma_chi_t_f.pdf" TargetMode="External"/><Relationship Id="rId76" Type="http://schemas.openxmlformats.org/officeDocument/2006/relationships/image" Target="media/image14.png"/><Relationship Id="rId77" Type="http://schemas.openxmlformats.org/officeDocument/2006/relationships/hyperlink" Target="https://www.codementor.io/@abhirajsuresh/what-is-a-chi-square-test-and-why-do-we-use-it-1365snyolr" TargetMode="External"/><Relationship Id="rId78" Type="http://schemas.openxmlformats.org/officeDocument/2006/relationships/image" Target="media/image15.png"/><Relationship Id="rId79" Type="http://schemas.openxmlformats.org/officeDocument/2006/relationships/hyperlink" Target="https://articles.viriya.net/socioeconomic_correlates_of_health_outcomes_and_mental_health_disparity_in_a_sample_of_cancer_patients_during_the_covid-19_pandemic.pdf" TargetMode="External"/><Relationship Id="rId80" Type="http://schemas.openxmlformats.org/officeDocument/2006/relationships/hyperlink" Target="https://doi.org/10.1111/jocn.16266" TargetMode="External"/><Relationship Id="rId81" Type="http://schemas.openxmlformats.org/officeDocument/2006/relationships/numbering" Target="numbering.xml"/><Relationship Id="rId82" Type="http://schemas.openxmlformats.org/officeDocument/2006/relationships/fontTable" Target="fontTable.xml"/><Relationship Id="rId83" Type="http://schemas.openxmlformats.org/officeDocument/2006/relationships/settings" Target="settings.xml"/><Relationship Id="rId8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LibreOffice/24.2.7.2$Linux_X86_64 LibreOffice_project/420$Build-2</Application>
  <AppVersion>15.0000</AppVersion>
  <Pages>26</Pages>
  <Words>3169</Words>
  <Characters>15620</Characters>
  <CharactersWithSpaces>18465</CharactersWithSpaces>
  <Paragraphs>484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2026-05-20T05:09:26Z</dcterms:created>
  <dc:creator/>
  <dc:description/>
  <dc:language>en-US</dc:language>
  <cp:lastModifiedBy>William Ellery Samuels</cp:lastModifiedBy>
  <dcterms:modified xsi:type="dcterms:W3CDTF">2026-05-20T22:05:17Z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ways_allow_html">
    <vt:lpwstr>True</vt:lpwstr>
  </property>
  <property fmtid="{D5CDD505-2E9C-101B-9397-08002B2CF9AE}" pid="3" name="output">
    <vt:lpwstr/>
  </property>
</Properties>
</file>